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B459B" w14:textId="77777777" w:rsidR="00E867BA" w:rsidRPr="00D81B83" w:rsidRDefault="00E867BA" w:rsidP="00E867BA">
      <w:pPr>
        <w:jc w:val="center"/>
        <w:rPr>
          <w:rFonts w:ascii="Times New Roman" w:hAnsi="Times New Roman"/>
          <w:b/>
        </w:rPr>
      </w:pPr>
      <w:r w:rsidRPr="00D81B83">
        <w:rPr>
          <w:rFonts w:ascii="Times New Roman" w:hAnsi="Times New Roman"/>
          <w:b/>
        </w:rPr>
        <w:t>CIRTEK HOLDINGS PHILIPPINES CORPORATION</w:t>
      </w:r>
    </w:p>
    <w:p w14:paraId="3AEA3A0E" w14:textId="77777777" w:rsidR="00E867BA" w:rsidRPr="00D81B83" w:rsidRDefault="00E867BA" w:rsidP="00E867BA">
      <w:pPr>
        <w:jc w:val="center"/>
        <w:rPr>
          <w:rFonts w:ascii="Times New Roman" w:hAnsi="Times New Roman"/>
          <w:b/>
        </w:rPr>
      </w:pPr>
    </w:p>
    <w:p w14:paraId="46C1F065" w14:textId="77777777" w:rsidR="00E867BA" w:rsidRPr="00D81B83" w:rsidRDefault="00E867BA" w:rsidP="00E867BA">
      <w:pPr>
        <w:jc w:val="center"/>
        <w:rPr>
          <w:rFonts w:ascii="Times New Roman" w:hAnsi="Times New Roman"/>
          <w:b/>
        </w:rPr>
      </w:pPr>
      <w:r w:rsidRPr="00D81B83">
        <w:rPr>
          <w:rFonts w:ascii="Times New Roman" w:hAnsi="Times New Roman"/>
          <w:b/>
        </w:rPr>
        <w:t>STOCKHOLDER PROXY</w:t>
      </w:r>
    </w:p>
    <w:p w14:paraId="68430DE9" w14:textId="77777777" w:rsidR="00E867BA" w:rsidRPr="00D81B83" w:rsidRDefault="00E867BA" w:rsidP="00E867BA">
      <w:pPr>
        <w:rPr>
          <w:rFonts w:ascii="Times New Roman" w:hAnsi="Times New Roman"/>
        </w:rPr>
      </w:pPr>
    </w:p>
    <w:p w14:paraId="6F79A4AB" w14:textId="37CA282F" w:rsidR="00E867BA" w:rsidRPr="00D81B83" w:rsidRDefault="00E867BA" w:rsidP="00E867BA">
      <w:pPr>
        <w:rPr>
          <w:rFonts w:ascii="Times New Roman" w:hAnsi="Times New Roman"/>
        </w:rPr>
      </w:pPr>
      <w:r w:rsidRPr="00D81B83">
        <w:rPr>
          <w:rFonts w:ascii="Times New Roman" w:hAnsi="Times New Roman"/>
        </w:rPr>
        <w:tab/>
        <w:t xml:space="preserve">The undersigned hereby appoints </w:t>
      </w:r>
      <w:r w:rsidR="009C4549">
        <w:rPr>
          <w:rFonts w:ascii="Times New Roman" w:hAnsi="Times New Roman"/>
          <w:b/>
        </w:rPr>
        <w:t>________________________</w:t>
      </w:r>
      <w:r w:rsidR="008535E0">
        <w:rPr>
          <w:rFonts w:ascii="Times New Roman" w:hAnsi="Times New Roman"/>
          <w:b/>
        </w:rPr>
        <w:t xml:space="preserve"> </w:t>
      </w:r>
      <w:r w:rsidR="008535E0">
        <w:rPr>
          <w:rFonts w:ascii="Times New Roman" w:hAnsi="Times New Roman"/>
          <w:bCs/>
        </w:rPr>
        <w:t>(the “Proxy”)</w:t>
      </w:r>
      <w:r w:rsidRPr="00D81B83">
        <w:rPr>
          <w:rFonts w:ascii="Times New Roman" w:hAnsi="Times New Roman"/>
        </w:rPr>
        <w:t xml:space="preserve"> with full power of substitution and delegation, as the proxy of the undersigne</w:t>
      </w:r>
      <w:r w:rsidR="004C4666">
        <w:rPr>
          <w:rFonts w:ascii="Times New Roman" w:hAnsi="Times New Roman"/>
        </w:rPr>
        <w:t xml:space="preserve">d, to represent and vote all </w:t>
      </w:r>
      <w:r w:rsidR="009C4549">
        <w:rPr>
          <w:rFonts w:ascii="Times New Roman" w:hAnsi="Times New Roman"/>
        </w:rPr>
        <w:t>________________</w:t>
      </w:r>
      <w:r w:rsidRPr="00D81B83">
        <w:rPr>
          <w:rFonts w:ascii="Times New Roman" w:hAnsi="Times New Roman"/>
        </w:rPr>
        <w:t xml:space="preserve"> shares of common stock of the undersigned in the books of </w:t>
      </w:r>
      <w:r w:rsidRPr="0070558B">
        <w:rPr>
          <w:rFonts w:ascii="Times New Roman" w:hAnsi="Times New Roman"/>
          <w:b/>
        </w:rPr>
        <w:t>CIRTEK HOLDINGS PHILIPPINES CORPORATION</w:t>
      </w:r>
      <w:r w:rsidRPr="00D81B83">
        <w:rPr>
          <w:rFonts w:ascii="Times New Roman" w:hAnsi="Times New Roman"/>
        </w:rPr>
        <w:t xml:space="preserve"> (the “Co</w:t>
      </w:r>
      <w:r>
        <w:rPr>
          <w:rFonts w:ascii="Times New Roman" w:hAnsi="Times New Roman"/>
        </w:rPr>
        <w:t xml:space="preserve">mpany”) </w:t>
      </w:r>
      <w:r w:rsidRPr="00D81B83">
        <w:rPr>
          <w:rFonts w:ascii="Times New Roman" w:hAnsi="Times New Roman"/>
        </w:rPr>
        <w:t>for all matters to be taken up</w:t>
      </w:r>
      <w:r w:rsidR="005D4728">
        <w:rPr>
          <w:rFonts w:ascii="Times New Roman" w:hAnsi="Times New Roman"/>
        </w:rPr>
        <w:t xml:space="preserve"> during the </w:t>
      </w:r>
      <w:r w:rsidR="00477396">
        <w:rPr>
          <w:rFonts w:ascii="Times New Roman" w:hAnsi="Times New Roman"/>
        </w:rPr>
        <w:t>Speci</w:t>
      </w:r>
      <w:r w:rsidRPr="00D81B83">
        <w:rPr>
          <w:rFonts w:ascii="Times New Roman" w:hAnsi="Times New Roman"/>
        </w:rPr>
        <w:t xml:space="preserve">al Stockholders’ Meeting to be held on </w:t>
      </w:r>
      <w:r w:rsidR="00477396">
        <w:rPr>
          <w:rFonts w:ascii="Times New Roman" w:hAnsi="Times New Roman"/>
        </w:rPr>
        <w:t>27</w:t>
      </w:r>
      <w:r w:rsidR="00477396" w:rsidRPr="00D81B83">
        <w:rPr>
          <w:rFonts w:ascii="Times New Roman" w:hAnsi="Times New Roman"/>
        </w:rPr>
        <w:t xml:space="preserve"> </w:t>
      </w:r>
      <w:r w:rsidR="00477396">
        <w:rPr>
          <w:rFonts w:ascii="Times New Roman" w:hAnsi="Times New Roman"/>
        </w:rPr>
        <w:t>November</w:t>
      </w:r>
      <w:r w:rsidR="00477396" w:rsidRPr="00D81B83">
        <w:rPr>
          <w:rFonts w:ascii="Times New Roman" w:hAnsi="Times New Roman"/>
        </w:rPr>
        <w:t xml:space="preserve"> 20</w:t>
      </w:r>
      <w:r w:rsidR="00477396">
        <w:rPr>
          <w:rFonts w:ascii="Times New Roman" w:hAnsi="Times New Roman"/>
        </w:rPr>
        <w:t xml:space="preserve">20 </w:t>
      </w:r>
      <w:r w:rsidR="00C7061B">
        <w:rPr>
          <w:rFonts w:ascii="Times New Roman" w:hAnsi="Times New Roman"/>
        </w:rPr>
        <w:t xml:space="preserve">at 10:30 a.m. </w:t>
      </w:r>
      <w:r w:rsidRPr="00D81B83">
        <w:rPr>
          <w:rFonts w:ascii="Times New Roman" w:hAnsi="Times New Roman"/>
        </w:rPr>
        <w:t>and at any and all adjournments or postponements thereof, as fully and for all intents and purposes, as the undersigned might or could do if present and acting in person, and hereby ratifies and confirms any and all actions taken on matters which may properly come before said meeting or any adjournment thereof.</w:t>
      </w:r>
    </w:p>
    <w:p w14:paraId="28AF2C15" w14:textId="77777777" w:rsidR="00E867BA" w:rsidRPr="00D81B83" w:rsidRDefault="00E867BA" w:rsidP="00E867BA">
      <w:pPr>
        <w:rPr>
          <w:rFonts w:ascii="Times New Roman" w:hAnsi="Times New Roman"/>
        </w:rPr>
      </w:pPr>
    </w:p>
    <w:p w14:paraId="633AF420" w14:textId="5ECB7B78" w:rsidR="00E867BA" w:rsidRPr="00D81B83" w:rsidRDefault="00E867BA" w:rsidP="00E867BA">
      <w:pPr>
        <w:rPr>
          <w:rFonts w:ascii="Times New Roman" w:hAnsi="Times New Roman"/>
        </w:rPr>
      </w:pPr>
      <w:r w:rsidRPr="00D81B83">
        <w:rPr>
          <w:rFonts w:ascii="Times New Roman" w:hAnsi="Times New Roman"/>
        </w:rPr>
        <w:tab/>
        <w:t xml:space="preserve">In case of absence of </w:t>
      </w:r>
      <w:r w:rsidR="008535E0" w:rsidRPr="008535E0">
        <w:rPr>
          <w:rFonts w:ascii="Times New Roman" w:hAnsi="Times New Roman"/>
          <w:bCs/>
        </w:rPr>
        <w:t>the Proxy</w:t>
      </w:r>
      <w:r w:rsidRPr="00D81B83">
        <w:rPr>
          <w:rFonts w:ascii="Times New Roman" w:hAnsi="Times New Roman"/>
        </w:rPr>
        <w:t xml:space="preserve"> and any substitute proxy designated by him at any meeting of stockholders, the undersigned hereby grants to the designated Chairman of the meeting, full power and authority to act as alternate proxy of the undersigned, for the same purposes specified in the preceding paragraph.</w:t>
      </w:r>
    </w:p>
    <w:p w14:paraId="67B448F0" w14:textId="77777777" w:rsidR="00E867BA" w:rsidRPr="00D81B83" w:rsidRDefault="00E867BA" w:rsidP="00E867BA">
      <w:pPr>
        <w:rPr>
          <w:rFonts w:ascii="Times New Roman" w:hAnsi="Times New Roman"/>
        </w:rPr>
      </w:pPr>
    </w:p>
    <w:p w14:paraId="0A5F0CD0" w14:textId="79E82A1C" w:rsidR="00E867BA" w:rsidRPr="00D81B83" w:rsidRDefault="00E867BA" w:rsidP="00E867BA">
      <w:pPr>
        <w:rPr>
          <w:rFonts w:ascii="Times New Roman" w:hAnsi="Times New Roman"/>
        </w:rPr>
      </w:pPr>
      <w:r w:rsidRPr="00D81B83">
        <w:rPr>
          <w:rFonts w:ascii="Times New Roman" w:hAnsi="Times New Roman"/>
        </w:rPr>
        <w:tab/>
        <w:t xml:space="preserve">This Proxy shall be in full force and effect </w:t>
      </w:r>
      <w:r w:rsidR="005D4728">
        <w:rPr>
          <w:rFonts w:ascii="Times New Roman" w:hAnsi="Times New Roman"/>
        </w:rPr>
        <w:t xml:space="preserve">for all matters relating to the special stockholders meeting scheduled on 27 November 2020 at 10:30 a.m. and </w:t>
      </w:r>
      <w:r w:rsidR="005D4728" w:rsidRPr="00D81B83">
        <w:rPr>
          <w:rFonts w:ascii="Times New Roman" w:hAnsi="Times New Roman"/>
        </w:rPr>
        <w:t>at any and all adjournments or postponements thereof</w:t>
      </w:r>
      <w:r w:rsidR="00784E3C">
        <w:rPr>
          <w:rFonts w:ascii="Times New Roman" w:hAnsi="Times New Roman"/>
        </w:rPr>
        <w:t>,</w:t>
      </w:r>
      <w:r w:rsidRPr="00D81B83">
        <w:rPr>
          <w:rFonts w:ascii="Times New Roman" w:hAnsi="Times New Roman"/>
        </w:rPr>
        <w:t xml:space="preserve"> unless withdrawn by written notice delivered to the Corporate Secretary of the </w:t>
      </w:r>
      <w:r>
        <w:rPr>
          <w:rFonts w:ascii="Times New Roman" w:hAnsi="Times New Roman"/>
        </w:rPr>
        <w:t>Company</w:t>
      </w:r>
      <w:r w:rsidRPr="00D81B83">
        <w:rPr>
          <w:rFonts w:ascii="Times New Roman" w:hAnsi="Times New Roman"/>
        </w:rPr>
        <w:t xml:space="preserve">, but shall not apply in instances wherein the undersigned personally attends the meeting. </w:t>
      </w:r>
    </w:p>
    <w:p w14:paraId="7B7B3112" w14:textId="77777777" w:rsidR="00E867BA" w:rsidRPr="00D81B83" w:rsidRDefault="00E867BA" w:rsidP="00E867BA">
      <w:pPr>
        <w:rPr>
          <w:rFonts w:ascii="Times New Roman" w:hAnsi="Times New Roman"/>
        </w:rPr>
      </w:pPr>
    </w:p>
    <w:p w14:paraId="40167181" w14:textId="2ECC577E" w:rsidR="00E867BA" w:rsidRPr="00D81B83" w:rsidRDefault="00E867BA" w:rsidP="00E867BA">
      <w:pPr>
        <w:rPr>
          <w:rFonts w:ascii="Times New Roman" w:hAnsi="Times New Roman"/>
        </w:rPr>
      </w:pPr>
      <w:r w:rsidRPr="00D81B83">
        <w:rPr>
          <w:rFonts w:ascii="Times New Roman" w:hAnsi="Times New Roman"/>
        </w:rPr>
        <w:tab/>
      </w:r>
      <w:r w:rsidRPr="00D81B83">
        <w:rPr>
          <w:rFonts w:ascii="Times New Roman" w:hAnsi="Times New Roman"/>
          <w:b/>
        </w:rPr>
        <w:t>IN WITNESS WHEREOF</w:t>
      </w:r>
      <w:r w:rsidRPr="00D81B83">
        <w:rPr>
          <w:rFonts w:ascii="Times New Roman" w:hAnsi="Times New Roman"/>
        </w:rPr>
        <w:t>, the undersigned has executed</w:t>
      </w:r>
      <w:r>
        <w:rPr>
          <w:rFonts w:ascii="Times New Roman" w:hAnsi="Times New Roman"/>
        </w:rPr>
        <w:t xml:space="preserve"> this Proxy this </w:t>
      </w:r>
      <w:r w:rsidRPr="008535E0">
        <w:rPr>
          <w:rFonts w:ascii="Times New Roman" w:hAnsi="Times New Roman"/>
        </w:rPr>
        <w:t xml:space="preserve">____ day of </w:t>
      </w:r>
      <w:r w:rsidR="009C4549" w:rsidRPr="008535E0">
        <w:rPr>
          <w:rFonts w:ascii="Times New Roman" w:hAnsi="Times New Roman"/>
        </w:rPr>
        <w:t>_____________</w:t>
      </w:r>
      <w:r w:rsidRPr="008535E0">
        <w:rPr>
          <w:rFonts w:ascii="Times New Roman" w:hAnsi="Times New Roman"/>
        </w:rPr>
        <w:t>.</w:t>
      </w:r>
    </w:p>
    <w:p w14:paraId="705067B2" w14:textId="77777777" w:rsidR="00E867BA" w:rsidRPr="00D81B83" w:rsidRDefault="00E867BA" w:rsidP="00E867BA">
      <w:pPr>
        <w:rPr>
          <w:rFonts w:ascii="Times New Roman" w:hAnsi="Times New Roman"/>
        </w:rPr>
      </w:pPr>
    </w:p>
    <w:p w14:paraId="57A70DAD" w14:textId="1E778ADD" w:rsidR="00E867BA" w:rsidRPr="00BC7FB9" w:rsidRDefault="009C4549" w:rsidP="00E867BA">
      <w:pPr>
        <w:ind w:left="5040"/>
        <w:rPr>
          <w:rFonts w:ascii="Times New Roman" w:hAnsi="Times New Roman"/>
          <w:b/>
        </w:rPr>
      </w:pPr>
      <w:r>
        <w:rPr>
          <w:rFonts w:ascii="Times New Roman" w:hAnsi="Times New Roman"/>
          <w:b/>
        </w:rPr>
        <w:t>________________________</w:t>
      </w:r>
    </w:p>
    <w:p w14:paraId="14546F7D" w14:textId="77777777" w:rsidR="00C7061B" w:rsidRDefault="00E867BA" w:rsidP="00E867B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EC482FC" w14:textId="380AE087" w:rsidR="00E867BA" w:rsidRDefault="00E867BA" w:rsidP="00C7061B">
      <w:pPr>
        <w:ind w:left="5040"/>
        <w:rPr>
          <w:rFonts w:ascii="Times New Roman" w:hAnsi="Times New Roman"/>
        </w:rPr>
      </w:pPr>
      <w:r>
        <w:rPr>
          <w:rFonts w:ascii="Times New Roman" w:hAnsi="Times New Roman"/>
        </w:rPr>
        <w:t>by:</w:t>
      </w:r>
    </w:p>
    <w:p w14:paraId="13E1CEEC" w14:textId="77777777" w:rsidR="00E867BA" w:rsidRDefault="00E867BA" w:rsidP="00E867BA">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179"/>
      </w:tblGrid>
      <w:tr w:rsidR="00E867BA" w14:paraId="323EEAD4" w14:textId="77777777" w:rsidTr="000E1DF5">
        <w:tc>
          <w:tcPr>
            <w:tcW w:w="5035" w:type="dxa"/>
          </w:tcPr>
          <w:p w14:paraId="58CBF140" w14:textId="77777777" w:rsidR="00E867BA" w:rsidRDefault="00E867BA" w:rsidP="000E1DF5">
            <w:pPr>
              <w:rPr>
                <w:rFonts w:ascii="Times New Roman" w:hAnsi="Times New Roman"/>
              </w:rPr>
            </w:pPr>
          </w:p>
        </w:tc>
        <w:tc>
          <w:tcPr>
            <w:tcW w:w="5179" w:type="dxa"/>
          </w:tcPr>
          <w:p w14:paraId="5FC5619F" w14:textId="77777777" w:rsidR="00E867BA" w:rsidRPr="00DE6BAD" w:rsidRDefault="00E867BA" w:rsidP="009C4549">
            <w:pPr>
              <w:jc w:val="center"/>
              <w:rPr>
                <w:rFonts w:ascii="Times New Roman" w:hAnsi="Times New Roman"/>
                <w:b/>
                <w:highlight w:val="yellow"/>
              </w:rPr>
            </w:pPr>
          </w:p>
        </w:tc>
      </w:tr>
    </w:tbl>
    <w:p w14:paraId="32C3873B" w14:textId="77777777" w:rsidR="00E867BA" w:rsidRDefault="00E867BA" w:rsidP="00E867BA">
      <w:pPr>
        <w:rPr>
          <w:rFonts w:ascii="Times New Roman" w:hAnsi="Times New Roman"/>
        </w:rPr>
      </w:pPr>
    </w:p>
    <w:p w14:paraId="1227AF77" w14:textId="4CB4340A" w:rsidR="00E867BA" w:rsidRDefault="00E867BA" w:rsidP="00E867BA">
      <w:pPr>
        <w:ind w:left="5040"/>
        <w:rPr>
          <w:rFonts w:ascii="Times New Roman" w:hAnsi="Times New Roman"/>
        </w:rPr>
      </w:pPr>
      <w:r w:rsidRPr="00D81B83">
        <w:rPr>
          <w:rFonts w:ascii="Times New Roman" w:hAnsi="Times New Roman"/>
        </w:rPr>
        <w:t xml:space="preserve">Address: </w:t>
      </w:r>
      <w:r w:rsidR="009C4549">
        <w:rPr>
          <w:rFonts w:ascii="Times New Roman" w:hAnsi="Times New Roman"/>
          <w:spacing w:val="-4"/>
        </w:rPr>
        <w:t>__________________________</w:t>
      </w:r>
      <w:r>
        <w:rPr>
          <w:rFonts w:ascii="Times New Roman" w:hAnsi="Times New Roman"/>
        </w:rPr>
        <w:t xml:space="preserve"> </w:t>
      </w:r>
    </w:p>
    <w:p w14:paraId="17831138" w14:textId="79262BEF" w:rsidR="00E867BA" w:rsidRDefault="00E867BA" w:rsidP="00E867BA">
      <w:pPr>
        <w:rPr>
          <w:rFonts w:ascii="Times New Roman" w:hAnsi="Times New Roman"/>
        </w:rPr>
      </w:pPr>
      <w:r w:rsidRPr="00D81B83">
        <w:rPr>
          <w:rFonts w:ascii="Times New Roman" w:hAnsi="Times New Roman"/>
        </w:rPr>
        <w:tab/>
      </w:r>
      <w:r w:rsidRPr="00D81B83">
        <w:rPr>
          <w:rFonts w:ascii="Times New Roman" w:hAnsi="Times New Roman"/>
        </w:rPr>
        <w:tab/>
      </w:r>
      <w:r w:rsidRPr="00D81B83">
        <w:rPr>
          <w:rFonts w:ascii="Times New Roman" w:hAnsi="Times New Roman"/>
        </w:rPr>
        <w:tab/>
      </w:r>
      <w:r w:rsidRPr="00D81B83">
        <w:rPr>
          <w:rFonts w:ascii="Times New Roman" w:hAnsi="Times New Roman"/>
        </w:rPr>
        <w:tab/>
      </w:r>
      <w:r w:rsidRPr="00D81B83">
        <w:rPr>
          <w:rFonts w:ascii="Times New Roman" w:hAnsi="Times New Roman"/>
        </w:rPr>
        <w:tab/>
      </w:r>
      <w:r w:rsidRPr="00D81B83">
        <w:rPr>
          <w:rFonts w:ascii="Times New Roman" w:hAnsi="Times New Roman"/>
        </w:rPr>
        <w:tab/>
      </w:r>
      <w:r w:rsidRPr="00D81B83">
        <w:rPr>
          <w:rFonts w:ascii="Times New Roman" w:hAnsi="Times New Roman"/>
        </w:rPr>
        <w:tab/>
        <w:t xml:space="preserve">Date: </w:t>
      </w:r>
      <w:r w:rsidRPr="008535E0">
        <w:rPr>
          <w:rFonts w:ascii="Times New Roman" w:hAnsi="Times New Roman"/>
        </w:rPr>
        <w:t>____</w:t>
      </w:r>
      <w:r w:rsidR="009C4549" w:rsidRPr="008535E0">
        <w:rPr>
          <w:rFonts w:ascii="Times New Roman" w:hAnsi="Times New Roman"/>
        </w:rPr>
        <w:t>______________________</w:t>
      </w:r>
    </w:p>
    <w:p w14:paraId="487078B8" w14:textId="1DD3FF4A" w:rsidR="003814F0" w:rsidRDefault="003814F0" w:rsidP="00E867BA">
      <w:pPr>
        <w:rPr>
          <w:rFonts w:ascii="Times New Roman" w:hAnsi="Times New Roman"/>
        </w:rPr>
      </w:pPr>
    </w:p>
    <w:p w14:paraId="68F5888E" w14:textId="77777777" w:rsidR="003814F0" w:rsidRPr="00D81B83" w:rsidRDefault="003814F0" w:rsidP="00E867BA">
      <w:pPr>
        <w:rPr>
          <w:rFonts w:ascii="Times New Roman" w:hAnsi="Times New Roman"/>
        </w:rPr>
      </w:pPr>
    </w:p>
    <w:p w14:paraId="1A385289" w14:textId="77777777" w:rsidR="00E867BA" w:rsidRPr="00D81B83" w:rsidRDefault="00E867BA" w:rsidP="00E867BA">
      <w:pPr>
        <w:rPr>
          <w:rFonts w:ascii="Times New Roman" w:hAnsi="Times New Roman"/>
        </w:rPr>
      </w:pPr>
      <w:r w:rsidRPr="00D81B83">
        <w:rPr>
          <w:rFonts w:ascii="Times New Roman" w:hAnsi="Times New Roman"/>
        </w:rPr>
        <w:t>==================================================================================</w:t>
      </w:r>
    </w:p>
    <w:p w14:paraId="7DC3064A" w14:textId="4BF8B917" w:rsidR="00E867BA" w:rsidRPr="00101329" w:rsidRDefault="00E867BA" w:rsidP="00E867BA">
      <w:pPr>
        <w:jc w:val="center"/>
        <w:rPr>
          <w:rFonts w:ascii="Times New Roman" w:hAnsi="Times New Roman"/>
          <w:sz w:val="20"/>
          <w:szCs w:val="20"/>
        </w:rPr>
      </w:pPr>
      <w:r w:rsidRPr="00D81B83">
        <w:rPr>
          <w:rFonts w:ascii="Times New Roman" w:hAnsi="Times New Roman"/>
        </w:rPr>
        <w:tab/>
      </w:r>
      <w:r w:rsidRPr="00101329">
        <w:rPr>
          <w:rFonts w:ascii="Times New Roman" w:hAnsi="Times New Roman"/>
          <w:sz w:val="20"/>
          <w:szCs w:val="20"/>
        </w:rPr>
        <w:t xml:space="preserve">STOCKHOLDERS’ INSTRUCTIONS TO PROXY FOR THE </w:t>
      </w:r>
      <w:r w:rsidR="00477396">
        <w:rPr>
          <w:rFonts w:ascii="Times New Roman" w:hAnsi="Times New Roman"/>
          <w:b/>
          <w:sz w:val="20"/>
          <w:szCs w:val="20"/>
          <w:u w:val="single"/>
        </w:rPr>
        <w:t>27 N</w:t>
      </w:r>
      <w:r w:rsidR="00C7061B">
        <w:rPr>
          <w:rFonts w:ascii="Times New Roman" w:hAnsi="Times New Roman"/>
          <w:b/>
          <w:sz w:val="20"/>
          <w:szCs w:val="20"/>
          <w:u w:val="single"/>
        </w:rPr>
        <w:t>OVEMBER</w:t>
      </w:r>
      <w:r w:rsidRPr="00101329">
        <w:rPr>
          <w:rFonts w:ascii="Times New Roman" w:hAnsi="Times New Roman"/>
          <w:b/>
          <w:sz w:val="20"/>
          <w:szCs w:val="20"/>
          <w:u w:val="single"/>
        </w:rPr>
        <w:t xml:space="preserve"> 20</w:t>
      </w:r>
      <w:r w:rsidR="009C4549">
        <w:rPr>
          <w:rFonts w:ascii="Times New Roman" w:hAnsi="Times New Roman"/>
          <w:b/>
          <w:sz w:val="20"/>
          <w:szCs w:val="20"/>
          <w:u w:val="single"/>
        </w:rPr>
        <w:t>20</w:t>
      </w:r>
      <w:r w:rsidRPr="00101329">
        <w:rPr>
          <w:rFonts w:ascii="Times New Roman" w:hAnsi="Times New Roman"/>
          <w:sz w:val="20"/>
          <w:szCs w:val="20"/>
        </w:rPr>
        <w:t xml:space="preserve"> </w:t>
      </w:r>
    </w:p>
    <w:p w14:paraId="3DD551C0" w14:textId="26785790" w:rsidR="00E867BA" w:rsidRPr="00101329" w:rsidRDefault="00477396" w:rsidP="00E867BA">
      <w:pPr>
        <w:jc w:val="center"/>
        <w:rPr>
          <w:rFonts w:ascii="Times New Roman" w:hAnsi="Times New Roman"/>
          <w:sz w:val="20"/>
          <w:szCs w:val="20"/>
        </w:rPr>
      </w:pPr>
      <w:r>
        <w:rPr>
          <w:rFonts w:ascii="Times New Roman" w:hAnsi="Times New Roman"/>
          <w:sz w:val="20"/>
          <w:szCs w:val="20"/>
        </w:rPr>
        <w:t>SPECI</w:t>
      </w:r>
      <w:r w:rsidR="00E867BA" w:rsidRPr="00101329">
        <w:rPr>
          <w:rFonts w:ascii="Times New Roman" w:hAnsi="Times New Roman"/>
          <w:sz w:val="20"/>
          <w:szCs w:val="20"/>
        </w:rPr>
        <w:t>AL STOCKHOLDERS’ MEETING</w:t>
      </w:r>
    </w:p>
    <w:p w14:paraId="3BADF8CF" w14:textId="650D16C3" w:rsidR="00E867BA" w:rsidRPr="00101329" w:rsidRDefault="00E867BA" w:rsidP="00E867BA">
      <w:pPr>
        <w:rPr>
          <w:rFonts w:ascii="Times New Roman" w:hAnsi="Times New Roman"/>
          <w:sz w:val="20"/>
          <w:szCs w:val="20"/>
        </w:rPr>
      </w:pPr>
      <w:r w:rsidRPr="00101329">
        <w:rPr>
          <w:rFonts w:ascii="Times New Roman" w:hAnsi="Times New Roman"/>
          <w:sz w:val="20"/>
          <w:szCs w:val="20"/>
        </w:rPr>
        <w:t>The Stockholder may provide his/her</w:t>
      </w:r>
      <w:r w:rsidR="003B40AF">
        <w:rPr>
          <w:rFonts w:ascii="Times New Roman" w:hAnsi="Times New Roman"/>
          <w:sz w:val="20"/>
          <w:szCs w:val="20"/>
        </w:rPr>
        <w:t xml:space="preserve"> </w:t>
      </w:r>
      <w:r w:rsidRPr="00101329">
        <w:rPr>
          <w:rFonts w:ascii="Times New Roman" w:hAnsi="Times New Roman"/>
          <w:sz w:val="20"/>
          <w:szCs w:val="20"/>
        </w:rPr>
        <w:t xml:space="preserve">instructions to the Proxy here.  Should the Stockholder opt not to give instructions, the Stockholder authorizes the Proxy to vote according to </w:t>
      </w:r>
      <w:r>
        <w:rPr>
          <w:rFonts w:ascii="Times New Roman" w:hAnsi="Times New Roman"/>
          <w:sz w:val="20"/>
          <w:szCs w:val="20"/>
        </w:rPr>
        <w:t>the recommendation of Management</w:t>
      </w:r>
      <w:r w:rsidRPr="00101329">
        <w:rPr>
          <w:rFonts w:ascii="Times New Roman" w:hAnsi="Times New Roman"/>
          <w:sz w:val="20"/>
          <w:szCs w:val="20"/>
        </w:rPr>
        <w:t>:</w:t>
      </w:r>
    </w:p>
    <w:p w14:paraId="574F49BF" w14:textId="7E33F877" w:rsidR="0035572D" w:rsidRPr="00101329" w:rsidRDefault="0035572D" w:rsidP="0035572D">
      <w:pPr>
        <w:rPr>
          <w:rFonts w:ascii="Times New Roman" w:hAnsi="Times New Roman"/>
          <w:sz w:val="20"/>
          <w:szCs w:val="20"/>
        </w:rPr>
      </w:pPr>
    </w:p>
    <w:p w14:paraId="7C528223" w14:textId="77777777" w:rsidR="00C17FA4" w:rsidRPr="00101329" w:rsidRDefault="00C17FA4" w:rsidP="00C17FA4">
      <w:pPr>
        <w:pStyle w:val="ListParagraph"/>
        <w:numPr>
          <w:ilvl w:val="0"/>
          <w:numId w:val="1"/>
        </w:numPr>
        <w:tabs>
          <w:tab w:val="left" w:pos="720"/>
        </w:tabs>
        <w:spacing w:line="360" w:lineRule="auto"/>
        <w:ind w:leftChars="134" w:left="295" w:firstLineChars="36" w:firstLine="72"/>
        <w:rPr>
          <w:rFonts w:ascii="Times New Roman" w:hAnsi="Times New Roman"/>
          <w:sz w:val="20"/>
          <w:szCs w:val="20"/>
        </w:rPr>
      </w:pPr>
      <w:r w:rsidRPr="00101329">
        <w:rPr>
          <w:rFonts w:ascii="Times New Roman" w:eastAsia="Times New Roman" w:hAnsi="Times New Roman"/>
          <w:color w:val="000000"/>
          <w:sz w:val="20"/>
          <w:szCs w:val="20"/>
        </w:rPr>
        <w:t>Approval of the Minutes of the 20</w:t>
      </w:r>
      <w:r>
        <w:rPr>
          <w:rFonts w:ascii="Times New Roman" w:eastAsia="Times New Roman" w:hAnsi="Times New Roman"/>
          <w:color w:val="000000"/>
          <w:sz w:val="20"/>
          <w:szCs w:val="20"/>
        </w:rPr>
        <w:t>20</w:t>
      </w:r>
      <w:r w:rsidRPr="00101329">
        <w:rPr>
          <w:rFonts w:ascii="Times New Roman" w:eastAsia="Times New Roman" w:hAnsi="Times New Roman"/>
          <w:color w:val="000000"/>
          <w:sz w:val="20"/>
          <w:szCs w:val="20"/>
        </w:rPr>
        <w:t xml:space="preserve"> Annual Stockholders’ Meeting held on </w:t>
      </w:r>
      <w:r>
        <w:rPr>
          <w:rFonts w:ascii="Times New Roman" w:eastAsia="Times New Roman" w:hAnsi="Times New Roman"/>
          <w:color w:val="000000"/>
          <w:sz w:val="20"/>
          <w:szCs w:val="20"/>
        </w:rPr>
        <w:t>30</w:t>
      </w:r>
      <w:r w:rsidRPr="00101329">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Jul</w:t>
      </w:r>
      <w:r w:rsidRPr="00101329">
        <w:rPr>
          <w:rFonts w:ascii="Times New Roman" w:eastAsia="Times New Roman" w:hAnsi="Times New Roman"/>
          <w:color w:val="000000"/>
          <w:sz w:val="20"/>
          <w:szCs w:val="20"/>
        </w:rPr>
        <w:t>y 20</w:t>
      </w:r>
      <w:r>
        <w:rPr>
          <w:rFonts w:ascii="Times New Roman" w:eastAsia="Times New Roman" w:hAnsi="Times New Roman"/>
          <w:color w:val="000000"/>
          <w:sz w:val="20"/>
          <w:szCs w:val="20"/>
        </w:rPr>
        <w:t>20</w:t>
      </w:r>
      <w:r w:rsidRPr="00101329">
        <w:rPr>
          <w:rFonts w:ascii="Times New Roman" w:hAnsi="Times New Roman"/>
          <w:sz w:val="20"/>
          <w:szCs w:val="20"/>
        </w:rPr>
        <w:t xml:space="preserve"> </w:t>
      </w:r>
    </w:p>
    <w:p w14:paraId="0457819D" w14:textId="1795B1EA" w:rsidR="00C17FA4" w:rsidRDefault="00C17FA4" w:rsidP="00C17FA4">
      <w:pPr>
        <w:pStyle w:val="ListParagraph"/>
        <w:numPr>
          <w:ilvl w:val="0"/>
          <w:numId w:val="3"/>
        </w:numPr>
        <w:tabs>
          <w:tab w:val="left" w:pos="1080"/>
        </w:tabs>
        <w:spacing w:before="120" w:line="360" w:lineRule="auto"/>
        <w:ind w:leftChars="134" w:left="295" w:firstLineChars="236" w:firstLine="472"/>
        <w:rPr>
          <w:rFonts w:ascii="Times New Roman" w:hAnsi="Times New Roman"/>
          <w:sz w:val="20"/>
          <w:szCs w:val="20"/>
        </w:rPr>
      </w:pPr>
      <w:r w:rsidRPr="00101329">
        <w:rPr>
          <w:rFonts w:ascii="Times New Roman" w:hAnsi="Times New Roman"/>
          <w:sz w:val="20"/>
          <w:szCs w:val="20"/>
        </w:rPr>
        <w:t xml:space="preserve">FOR </w:t>
      </w:r>
      <w:r w:rsidRPr="00101329">
        <w:rPr>
          <w:rFonts w:ascii="Times New Roman" w:hAnsi="Times New Roman"/>
          <w:sz w:val="20"/>
          <w:szCs w:val="20"/>
        </w:rPr>
        <w:tab/>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AGAINST</w:t>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ABSTAIN</w:t>
      </w:r>
      <w:r w:rsidRPr="00101329">
        <w:rPr>
          <w:rFonts w:ascii="Times New Roman" w:hAnsi="Times New Roman"/>
          <w:sz w:val="20"/>
          <w:szCs w:val="20"/>
        </w:rPr>
        <w:tab/>
      </w:r>
    </w:p>
    <w:p w14:paraId="64D71E25" w14:textId="77777777" w:rsidR="00C17FA4" w:rsidRPr="00101329" w:rsidRDefault="00C17FA4" w:rsidP="00C17FA4">
      <w:pPr>
        <w:pStyle w:val="ListParagraph"/>
        <w:tabs>
          <w:tab w:val="left" w:pos="1080"/>
        </w:tabs>
        <w:spacing w:before="120" w:line="360" w:lineRule="auto"/>
        <w:ind w:left="767"/>
        <w:rPr>
          <w:rFonts w:ascii="Times New Roman" w:hAnsi="Times New Roman"/>
          <w:sz w:val="20"/>
          <w:szCs w:val="20"/>
        </w:rPr>
      </w:pPr>
    </w:p>
    <w:p w14:paraId="2C14121E" w14:textId="22ABF865" w:rsidR="00C17FA4" w:rsidRPr="00F347FA" w:rsidRDefault="00C17FA4" w:rsidP="00C17FA4">
      <w:pPr>
        <w:pStyle w:val="ListParagraph"/>
        <w:numPr>
          <w:ilvl w:val="0"/>
          <w:numId w:val="1"/>
        </w:numPr>
        <w:tabs>
          <w:tab w:val="left" w:pos="720"/>
        </w:tabs>
        <w:spacing w:line="360" w:lineRule="auto"/>
        <w:ind w:leftChars="134" w:left="295" w:firstLineChars="36" w:firstLine="72"/>
        <w:rPr>
          <w:rFonts w:ascii="Times New Roman" w:hAnsi="Times New Roman"/>
          <w:sz w:val="20"/>
          <w:szCs w:val="20"/>
        </w:rPr>
      </w:pPr>
      <w:r>
        <w:rPr>
          <w:rFonts w:ascii="Times New Roman" w:eastAsia="Times New Roman" w:hAnsi="Times New Roman"/>
          <w:color w:val="000000"/>
          <w:sz w:val="20"/>
          <w:szCs w:val="20"/>
        </w:rPr>
        <w:t xml:space="preserve">Ratification of the Matters taken up during the </w:t>
      </w:r>
      <w:r w:rsidRPr="00101329">
        <w:rPr>
          <w:rFonts w:ascii="Times New Roman" w:eastAsia="Times New Roman" w:hAnsi="Times New Roman"/>
          <w:color w:val="000000"/>
          <w:sz w:val="20"/>
          <w:szCs w:val="20"/>
        </w:rPr>
        <w:t>20</w:t>
      </w:r>
      <w:r>
        <w:rPr>
          <w:rFonts w:ascii="Times New Roman" w:eastAsia="Times New Roman" w:hAnsi="Times New Roman"/>
          <w:color w:val="000000"/>
          <w:sz w:val="20"/>
          <w:szCs w:val="20"/>
        </w:rPr>
        <w:t>20</w:t>
      </w:r>
      <w:r w:rsidRPr="00101329">
        <w:rPr>
          <w:rFonts w:ascii="Times New Roman" w:eastAsia="Times New Roman" w:hAnsi="Times New Roman"/>
          <w:color w:val="000000"/>
          <w:sz w:val="20"/>
          <w:szCs w:val="20"/>
        </w:rPr>
        <w:t xml:space="preserve"> Annual Stockholders’ Meeting</w:t>
      </w:r>
      <w:r>
        <w:rPr>
          <w:rFonts w:ascii="Times New Roman" w:eastAsia="Times New Roman" w:hAnsi="Times New Roman"/>
          <w:color w:val="000000"/>
          <w:sz w:val="20"/>
          <w:szCs w:val="20"/>
        </w:rPr>
        <w:t>, namely:</w:t>
      </w:r>
    </w:p>
    <w:p w14:paraId="041F2838" w14:textId="521939A1" w:rsidR="00DE192F" w:rsidRPr="006A502D" w:rsidRDefault="00C17FA4" w:rsidP="00C17FA4">
      <w:pPr>
        <w:pStyle w:val="ListParagraph"/>
        <w:numPr>
          <w:ilvl w:val="1"/>
          <w:numId w:val="1"/>
        </w:numPr>
        <w:tabs>
          <w:tab w:val="left" w:pos="720"/>
        </w:tabs>
        <w:ind w:left="1434" w:hanging="357"/>
        <w:rPr>
          <w:rFonts w:ascii="Times New Roman" w:hAnsi="Times New Roman"/>
          <w:sz w:val="20"/>
          <w:szCs w:val="20"/>
        </w:rPr>
      </w:pPr>
      <w:r>
        <w:rPr>
          <w:rFonts w:ascii="Times New Roman" w:eastAsia="Times New Roman" w:hAnsi="Times New Roman"/>
          <w:color w:val="000000"/>
          <w:sz w:val="20"/>
          <w:szCs w:val="20"/>
        </w:rPr>
        <w:t>Approval of the Minutes of the 2019 Annual Stockholders’ Meeting</w:t>
      </w:r>
      <w:r w:rsidR="00ED4066">
        <w:rPr>
          <w:rFonts w:ascii="Times New Roman" w:eastAsia="Times New Roman" w:hAnsi="Times New Roman"/>
          <w:color w:val="000000"/>
          <w:sz w:val="20"/>
          <w:szCs w:val="20"/>
        </w:rPr>
        <w:t>;</w:t>
      </w:r>
    </w:p>
    <w:p w14:paraId="2CC4B207" w14:textId="77777777" w:rsidR="006F5BEC" w:rsidRPr="00F54F17" w:rsidRDefault="006F5BEC" w:rsidP="006A502D">
      <w:pPr>
        <w:pStyle w:val="ListParagraph"/>
        <w:tabs>
          <w:tab w:val="left" w:pos="720"/>
        </w:tabs>
        <w:ind w:left="1434"/>
        <w:rPr>
          <w:rFonts w:ascii="Times New Roman" w:hAnsi="Times New Roman"/>
          <w:sz w:val="20"/>
          <w:szCs w:val="20"/>
        </w:rPr>
      </w:pPr>
    </w:p>
    <w:p w14:paraId="57434B00" w14:textId="77777777" w:rsidR="00784E3C" w:rsidRPr="00C672C2" w:rsidRDefault="00784E3C" w:rsidP="006A502D">
      <w:pPr>
        <w:pStyle w:val="ListParagraph"/>
        <w:tabs>
          <w:tab w:val="left" w:pos="720"/>
        </w:tabs>
        <w:spacing w:line="360" w:lineRule="auto"/>
        <w:rPr>
          <w:rFonts w:ascii="Times New Roman" w:hAnsi="Times New Roman"/>
          <w:sz w:val="20"/>
          <w:szCs w:val="20"/>
        </w:rPr>
      </w:pPr>
      <w:r>
        <w:tab/>
      </w:r>
      <w:r w:rsidRPr="00101329">
        <w:sym w:font="Webdings" w:char="F063"/>
      </w:r>
      <w:r w:rsidRPr="00C672C2">
        <w:rPr>
          <w:rFonts w:ascii="Times New Roman" w:hAnsi="Times New Roman"/>
          <w:sz w:val="20"/>
          <w:szCs w:val="20"/>
        </w:rPr>
        <w:t xml:space="preserve">  FOR </w:t>
      </w:r>
      <w:r w:rsidRPr="00C672C2">
        <w:rPr>
          <w:rFonts w:ascii="Times New Roman" w:hAnsi="Times New Roman"/>
          <w:sz w:val="20"/>
          <w:szCs w:val="20"/>
        </w:rPr>
        <w:tab/>
      </w:r>
      <w:r w:rsidRPr="00C672C2">
        <w:rPr>
          <w:rFonts w:ascii="Times New Roman" w:hAnsi="Times New Roman"/>
          <w:sz w:val="20"/>
          <w:szCs w:val="20"/>
        </w:rPr>
        <w:tab/>
      </w:r>
      <w:r w:rsidRPr="00101329">
        <w:sym w:font="Webdings" w:char="F063"/>
      </w:r>
      <w:r w:rsidRPr="00C672C2">
        <w:rPr>
          <w:rFonts w:ascii="Times New Roman" w:hAnsi="Times New Roman"/>
          <w:sz w:val="20"/>
          <w:szCs w:val="20"/>
        </w:rPr>
        <w:t xml:space="preserve">  AGAINST</w:t>
      </w:r>
      <w:r w:rsidRPr="00C672C2">
        <w:rPr>
          <w:rFonts w:ascii="Times New Roman" w:hAnsi="Times New Roman"/>
          <w:sz w:val="20"/>
          <w:szCs w:val="20"/>
        </w:rPr>
        <w:tab/>
      </w:r>
      <w:r w:rsidRPr="00101329">
        <w:sym w:font="Webdings" w:char="F063"/>
      </w:r>
      <w:r w:rsidRPr="00C672C2">
        <w:rPr>
          <w:rFonts w:ascii="Times New Roman" w:hAnsi="Times New Roman"/>
          <w:sz w:val="20"/>
          <w:szCs w:val="20"/>
        </w:rPr>
        <w:t xml:space="preserve">  ABSTAIN</w:t>
      </w:r>
    </w:p>
    <w:p w14:paraId="5CE5F19A" w14:textId="10EE7689" w:rsidR="00C17FA4" w:rsidRPr="006A502D" w:rsidRDefault="00C17FA4" w:rsidP="00C17FA4">
      <w:pPr>
        <w:pStyle w:val="ListParagraph"/>
        <w:numPr>
          <w:ilvl w:val="1"/>
          <w:numId w:val="1"/>
        </w:numPr>
        <w:tabs>
          <w:tab w:val="left" w:pos="720"/>
        </w:tabs>
        <w:ind w:left="1434" w:hanging="357"/>
        <w:rPr>
          <w:rFonts w:ascii="Times New Roman" w:hAnsi="Times New Roman"/>
          <w:sz w:val="20"/>
          <w:szCs w:val="20"/>
        </w:rPr>
      </w:pPr>
      <w:r>
        <w:rPr>
          <w:rFonts w:ascii="Times New Roman" w:eastAsia="Times New Roman" w:hAnsi="Times New Roman"/>
          <w:color w:val="000000"/>
          <w:sz w:val="20"/>
          <w:szCs w:val="20"/>
        </w:rPr>
        <w:t>Approval of the Audited Financial Statements for the year ended 31 December 2019;</w:t>
      </w:r>
    </w:p>
    <w:p w14:paraId="27461DE5" w14:textId="77777777" w:rsidR="006F5BEC" w:rsidRPr="00F54F17" w:rsidRDefault="006F5BEC" w:rsidP="006A502D">
      <w:pPr>
        <w:pStyle w:val="ListParagraph"/>
        <w:tabs>
          <w:tab w:val="left" w:pos="720"/>
        </w:tabs>
        <w:ind w:left="1434"/>
        <w:rPr>
          <w:rFonts w:ascii="Times New Roman" w:hAnsi="Times New Roman"/>
          <w:sz w:val="20"/>
          <w:szCs w:val="20"/>
        </w:rPr>
      </w:pPr>
    </w:p>
    <w:p w14:paraId="126986A6" w14:textId="326B9E66" w:rsidR="00F54F17" w:rsidRPr="006A502D" w:rsidRDefault="00784E3C" w:rsidP="006A502D">
      <w:pPr>
        <w:pStyle w:val="ListParagraph"/>
        <w:tabs>
          <w:tab w:val="left" w:pos="720"/>
        </w:tabs>
        <w:spacing w:line="360" w:lineRule="auto"/>
        <w:rPr>
          <w:rFonts w:ascii="Times New Roman" w:hAnsi="Times New Roman"/>
          <w:sz w:val="20"/>
          <w:szCs w:val="20"/>
        </w:rPr>
      </w:pPr>
      <w:r>
        <w:tab/>
      </w:r>
      <w:r w:rsidRPr="00101329">
        <w:sym w:font="Webdings" w:char="F063"/>
      </w:r>
      <w:r w:rsidRPr="00C672C2">
        <w:rPr>
          <w:rFonts w:ascii="Times New Roman" w:hAnsi="Times New Roman"/>
          <w:sz w:val="20"/>
          <w:szCs w:val="20"/>
        </w:rPr>
        <w:t xml:space="preserve">  FOR </w:t>
      </w:r>
      <w:r w:rsidRPr="00C672C2">
        <w:rPr>
          <w:rFonts w:ascii="Times New Roman" w:hAnsi="Times New Roman"/>
          <w:sz w:val="20"/>
          <w:szCs w:val="20"/>
        </w:rPr>
        <w:tab/>
      </w:r>
      <w:r w:rsidRPr="00C672C2">
        <w:rPr>
          <w:rFonts w:ascii="Times New Roman" w:hAnsi="Times New Roman"/>
          <w:sz w:val="20"/>
          <w:szCs w:val="20"/>
        </w:rPr>
        <w:tab/>
      </w:r>
      <w:r w:rsidRPr="00101329">
        <w:sym w:font="Webdings" w:char="F063"/>
      </w:r>
      <w:r w:rsidRPr="00C672C2">
        <w:rPr>
          <w:rFonts w:ascii="Times New Roman" w:hAnsi="Times New Roman"/>
          <w:sz w:val="20"/>
          <w:szCs w:val="20"/>
        </w:rPr>
        <w:t xml:space="preserve">  AGAINST</w:t>
      </w:r>
      <w:r w:rsidRPr="00C672C2">
        <w:rPr>
          <w:rFonts w:ascii="Times New Roman" w:hAnsi="Times New Roman"/>
          <w:sz w:val="20"/>
          <w:szCs w:val="20"/>
        </w:rPr>
        <w:tab/>
      </w:r>
      <w:r w:rsidRPr="00101329">
        <w:sym w:font="Webdings" w:char="F063"/>
      </w:r>
      <w:r w:rsidRPr="00C672C2">
        <w:rPr>
          <w:rFonts w:ascii="Times New Roman" w:hAnsi="Times New Roman"/>
          <w:sz w:val="20"/>
          <w:szCs w:val="20"/>
        </w:rPr>
        <w:t xml:space="preserve">  ABSTAIN</w:t>
      </w:r>
    </w:p>
    <w:p w14:paraId="7C727A8E" w14:textId="47F58F8A" w:rsidR="00C17FA4" w:rsidRPr="006A502D" w:rsidRDefault="00C17FA4" w:rsidP="00C17FA4">
      <w:pPr>
        <w:pStyle w:val="ListParagraph"/>
        <w:numPr>
          <w:ilvl w:val="1"/>
          <w:numId w:val="1"/>
        </w:numPr>
        <w:tabs>
          <w:tab w:val="left" w:pos="720"/>
        </w:tabs>
        <w:ind w:left="1434" w:hanging="357"/>
        <w:rPr>
          <w:rFonts w:ascii="Times New Roman" w:hAnsi="Times New Roman"/>
          <w:sz w:val="20"/>
          <w:szCs w:val="20"/>
        </w:rPr>
      </w:pPr>
      <w:r>
        <w:rPr>
          <w:rFonts w:ascii="Times New Roman" w:eastAsia="Times New Roman" w:hAnsi="Times New Roman"/>
          <w:color w:val="000000"/>
          <w:sz w:val="20"/>
          <w:szCs w:val="20"/>
        </w:rPr>
        <w:t>Approval of the ratification of all acts of the Board and Management from the 2019 Annual Stockholders’ Meeting (31 May 2019) up to the 2020 Annual Stockholders’ Meeting (30 July 2020);</w:t>
      </w:r>
    </w:p>
    <w:p w14:paraId="32908790" w14:textId="77777777" w:rsidR="006F5BEC" w:rsidRPr="00F54F17" w:rsidRDefault="006F5BEC" w:rsidP="006A502D">
      <w:pPr>
        <w:pStyle w:val="ListParagraph"/>
        <w:tabs>
          <w:tab w:val="left" w:pos="720"/>
        </w:tabs>
        <w:ind w:left="1434"/>
        <w:rPr>
          <w:rFonts w:ascii="Times New Roman" w:hAnsi="Times New Roman"/>
          <w:sz w:val="20"/>
          <w:szCs w:val="20"/>
        </w:rPr>
      </w:pPr>
    </w:p>
    <w:p w14:paraId="1C74F882" w14:textId="462590A7" w:rsidR="00F54F17" w:rsidRPr="006A502D" w:rsidRDefault="00784E3C" w:rsidP="006A502D">
      <w:pPr>
        <w:pStyle w:val="ListParagraph"/>
        <w:tabs>
          <w:tab w:val="left" w:pos="720"/>
        </w:tabs>
        <w:spacing w:line="360" w:lineRule="auto"/>
        <w:rPr>
          <w:rFonts w:ascii="Times New Roman" w:hAnsi="Times New Roman"/>
          <w:sz w:val="20"/>
          <w:szCs w:val="20"/>
        </w:rPr>
      </w:pPr>
      <w:r>
        <w:tab/>
      </w:r>
      <w:r w:rsidRPr="00101329">
        <w:sym w:font="Webdings" w:char="F063"/>
      </w:r>
      <w:r w:rsidRPr="00C672C2">
        <w:rPr>
          <w:rFonts w:ascii="Times New Roman" w:hAnsi="Times New Roman"/>
          <w:sz w:val="20"/>
          <w:szCs w:val="20"/>
        </w:rPr>
        <w:t xml:space="preserve">  FOR </w:t>
      </w:r>
      <w:r w:rsidRPr="00C672C2">
        <w:rPr>
          <w:rFonts w:ascii="Times New Roman" w:hAnsi="Times New Roman"/>
          <w:sz w:val="20"/>
          <w:szCs w:val="20"/>
        </w:rPr>
        <w:tab/>
      </w:r>
      <w:r w:rsidRPr="00C672C2">
        <w:rPr>
          <w:rFonts w:ascii="Times New Roman" w:hAnsi="Times New Roman"/>
          <w:sz w:val="20"/>
          <w:szCs w:val="20"/>
        </w:rPr>
        <w:tab/>
      </w:r>
      <w:r w:rsidRPr="00101329">
        <w:sym w:font="Webdings" w:char="F063"/>
      </w:r>
      <w:r w:rsidRPr="00C672C2">
        <w:rPr>
          <w:rFonts w:ascii="Times New Roman" w:hAnsi="Times New Roman"/>
          <w:sz w:val="20"/>
          <w:szCs w:val="20"/>
        </w:rPr>
        <w:t xml:space="preserve">  AGAINST</w:t>
      </w:r>
      <w:r w:rsidRPr="00C672C2">
        <w:rPr>
          <w:rFonts w:ascii="Times New Roman" w:hAnsi="Times New Roman"/>
          <w:sz w:val="20"/>
          <w:szCs w:val="20"/>
        </w:rPr>
        <w:tab/>
      </w:r>
      <w:r w:rsidRPr="00101329">
        <w:sym w:font="Webdings" w:char="F063"/>
      </w:r>
      <w:r w:rsidRPr="00C672C2">
        <w:rPr>
          <w:rFonts w:ascii="Times New Roman" w:hAnsi="Times New Roman"/>
          <w:sz w:val="20"/>
          <w:szCs w:val="20"/>
        </w:rPr>
        <w:t xml:space="preserve">  ABSTAIN</w:t>
      </w:r>
      <w:r w:rsidR="00F54F17" w:rsidRPr="006A502D">
        <w:rPr>
          <w:rFonts w:ascii="Times New Roman" w:hAnsi="Times New Roman"/>
          <w:sz w:val="20"/>
          <w:szCs w:val="20"/>
        </w:rPr>
        <w:tab/>
      </w:r>
    </w:p>
    <w:p w14:paraId="0045A119" w14:textId="2A2B1E00" w:rsidR="00AE59EC" w:rsidRPr="006A502D" w:rsidRDefault="001B720E" w:rsidP="00C17FA4">
      <w:pPr>
        <w:pStyle w:val="ListParagraph"/>
        <w:numPr>
          <w:ilvl w:val="1"/>
          <w:numId w:val="1"/>
        </w:numPr>
        <w:tabs>
          <w:tab w:val="left" w:pos="720"/>
        </w:tabs>
        <w:ind w:left="1434" w:hanging="357"/>
        <w:rPr>
          <w:rFonts w:ascii="Times New Roman" w:hAnsi="Times New Roman"/>
          <w:sz w:val="20"/>
          <w:szCs w:val="20"/>
        </w:rPr>
      </w:pPr>
      <w:r>
        <w:rPr>
          <w:rFonts w:ascii="Times New Roman" w:eastAsia="Times New Roman" w:hAnsi="Times New Roman"/>
          <w:color w:val="000000"/>
          <w:sz w:val="20"/>
          <w:szCs w:val="20"/>
        </w:rPr>
        <w:lastRenderedPageBreak/>
        <w:t>Approval of the e</w:t>
      </w:r>
      <w:r w:rsidR="00C17FA4">
        <w:rPr>
          <w:rFonts w:ascii="Times New Roman" w:eastAsia="Times New Roman" w:hAnsi="Times New Roman"/>
          <w:color w:val="000000"/>
          <w:sz w:val="20"/>
          <w:szCs w:val="20"/>
        </w:rPr>
        <w:t xml:space="preserve">lection of the </w:t>
      </w:r>
      <w:r w:rsidR="00AE59EC">
        <w:rPr>
          <w:rFonts w:ascii="Times New Roman" w:eastAsia="Times New Roman" w:hAnsi="Times New Roman"/>
          <w:color w:val="000000"/>
          <w:sz w:val="20"/>
          <w:szCs w:val="20"/>
        </w:rPr>
        <w:t xml:space="preserve">following </w:t>
      </w:r>
      <w:r w:rsidR="00C17FA4">
        <w:rPr>
          <w:rFonts w:ascii="Times New Roman" w:eastAsia="Times New Roman" w:hAnsi="Times New Roman"/>
          <w:color w:val="000000"/>
          <w:sz w:val="20"/>
          <w:szCs w:val="20"/>
        </w:rPr>
        <w:t>directors</w:t>
      </w:r>
      <w:r w:rsidR="00C672C2">
        <w:rPr>
          <w:rFonts w:ascii="Times New Roman" w:eastAsia="Times New Roman" w:hAnsi="Times New Roman"/>
          <w:color w:val="000000"/>
          <w:sz w:val="20"/>
          <w:szCs w:val="20"/>
        </w:rPr>
        <w:t xml:space="preserve"> who received </w:t>
      </w:r>
      <w:r w:rsidR="00C672C2" w:rsidRPr="00C672C2">
        <w:rPr>
          <w:rFonts w:ascii="Times New Roman" w:eastAsia="Times New Roman" w:hAnsi="Times New Roman"/>
          <w:color w:val="000000"/>
          <w:sz w:val="20"/>
          <w:szCs w:val="20"/>
        </w:rPr>
        <w:t>891,975,801 votes</w:t>
      </w:r>
      <w:r w:rsidR="00C672C2">
        <w:rPr>
          <w:rFonts w:ascii="Times New Roman" w:eastAsia="Times New Roman" w:hAnsi="Times New Roman"/>
          <w:color w:val="000000"/>
          <w:sz w:val="20"/>
          <w:szCs w:val="20"/>
        </w:rPr>
        <w:t xml:space="preserve"> each</w:t>
      </w:r>
      <w:r w:rsidR="00AE59EC">
        <w:rPr>
          <w:rFonts w:ascii="Times New Roman" w:eastAsia="Times New Roman" w:hAnsi="Times New Roman"/>
          <w:color w:val="000000"/>
          <w:sz w:val="20"/>
          <w:szCs w:val="20"/>
        </w:rPr>
        <w:t>:</w:t>
      </w:r>
    </w:p>
    <w:p w14:paraId="3559071A" w14:textId="77777777" w:rsidR="00931E38" w:rsidRPr="006A502D" w:rsidRDefault="00931E38" w:rsidP="006A502D">
      <w:pPr>
        <w:pStyle w:val="ListParagraph"/>
        <w:numPr>
          <w:ilvl w:val="2"/>
          <w:numId w:val="1"/>
        </w:numPr>
        <w:tabs>
          <w:tab w:val="left" w:pos="720"/>
        </w:tabs>
        <w:rPr>
          <w:rFonts w:ascii="Times New Roman" w:hAnsi="Times New Roman"/>
          <w:sz w:val="20"/>
          <w:szCs w:val="20"/>
        </w:rPr>
      </w:pPr>
      <w:r>
        <w:rPr>
          <w:rFonts w:ascii="Times New Roman" w:eastAsia="Times New Roman" w:hAnsi="Times New Roman"/>
          <w:color w:val="000000"/>
          <w:sz w:val="20"/>
          <w:szCs w:val="20"/>
        </w:rPr>
        <w:t>Jerry Liu</w:t>
      </w:r>
    </w:p>
    <w:p w14:paraId="3F7A40B9" w14:textId="77777777" w:rsidR="00931E38" w:rsidRPr="006A502D" w:rsidRDefault="00931E38" w:rsidP="006A502D">
      <w:pPr>
        <w:pStyle w:val="ListParagraph"/>
        <w:numPr>
          <w:ilvl w:val="2"/>
          <w:numId w:val="1"/>
        </w:numPr>
        <w:tabs>
          <w:tab w:val="left" w:pos="720"/>
        </w:tabs>
        <w:rPr>
          <w:rFonts w:ascii="Times New Roman" w:hAnsi="Times New Roman"/>
          <w:sz w:val="20"/>
          <w:szCs w:val="20"/>
        </w:rPr>
      </w:pPr>
      <w:r>
        <w:rPr>
          <w:rFonts w:ascii="Times New Roman" w:eastAsia="Times New Roman" w:hAnsi="Times New Roman"/>
          <w:color w:val="000000"/>
          <w:sz w:val="20"/>
          <w:szCs w:val="20"/>
        </w:rPr>
        <w:t>Jorge Aguilar</w:t>
      </w:r>
    </w:p>
    <w:p w14:paraId="3EDAFBD8" w14:textId="77777777" w:rsidR="00931E38" w:rsidRPr="006A502D" w:rsidRDefault="00931E38" w:rsidP="006A502D">
      <w:pPr>
        <w:pStyle w:val="ListParagraph"/>
        <w:numPr>
          <w:ilvl w:val="2"/>
          <w:numId w:val="1"/>
        </w:numPr>
        <w:tabs>
          <w:tab w:val="left" w:pos="720"/>
        </w:tabs>
        <w:rPr>
          <w:rFonts w:ascii="Times New Roman" w:hAnsi="Times New Roman"/>
          <w:sz w:val="20"/>
          <w:szCs w:val="20"/>
        </w:rPr>
      </w:pPr>
      <w:r>
        <w:rPr>
          <w:rFonts w:ascii="Times New Roman" w:eastAsia="Times New Roman" w:hAnsi="Times New Roman"/>
          <w:color w:val="000000"/>
          <w:sz w:val="20"/>
          <w:szCs w:val="20"/>
        </w:rPr>
        <w:t>Justin Liu</w:t>
      </w:r>
    </w:p>
    <w:p w14:paraId="25FE39CA" w14:textId="77777777" w:rsidR="00931E38" w:rsidRPr="006A502D" w:rsidRDefault="00931E38" w:rsidP="006A502D">
      <w:pPr>
        <w:pStyle w:val="ListParagraph"/>
        <w:numPr>
          <w:ilvl w:val="2"/>
          <w:numId w:val="1"/>
        </w:numPr>
        <w:tabs>
          <w:tab w:val="left" w:pos="720"/>
        </w:tabs>
        <w:rPr>
          <w:rFonts w:ascii="Times New Roman" w:hAnsi="Times New Roman"/>
          <w:sz w:val="20"/>
          <w:szCs w:val="20"/>
        </w:rPr>
      </w:pPr>
      <w:r>
        <w:rPr>
          <w:rFonts w:ascii="Times New Roman" w:eastAsia="Times New Roman" w:hAnsi="Times New Roman"/>
          <w:color w:val="000000"/>
          <w:sz w:val="20"/>
          <w:szCs w:val="20"/>
        </w:rPr>
        <w:t>Michael Stephen Liu</w:t>
      </w:r>
    </w:p>
    <w:p w14:paraId="307C8EAA" w14:textId="77777777" w:rsidR="00931E38" w:rsidRPr="006A502D" w:rsidRDefault="00931E38" w:rsidP="006A502D">
      <w:pPr>
        <w:pStyle w:val="ListParagraph"/>
        <w:numPr>
          <w:ilvl w:val="2"/>
          <w:numId w:val="1"/>
        </w:numPr>
        <w:tabs>
          <w:tab w:val="left" w:pos="720"/>
        </w:tabs>
        <w:rPr>
          <w:rFonts w:ascii="Times New Roman" w:hAnsi="Times New Roman"/>
          <w:sz w:val="20"/>
          <w:szCs w:val="20"/>
        </w:rPr>
      </w:pPr>
      <w:r>
        <w:rPr>
          <w:rFonts w:ascii="Times New Roman" w:eastAsia="Times New Roman" w:hAnsi="Times New Roman"/>
          <w:color w:val="000000"/>
          <w:sz w:val="20"/>
          <w:szCs w:val="20"/>
        </w:rPr>
        <w:t>Brian Gregory Liu</w:t>
      </w:r>
    </w:p>
    <w:p w14:paraId="1955D13E" w14:textId="77777777" w:rsidR="00931E38" w:rsidRPr="006A502D" w:rsidRDefault="00931E38" w:rsidP="006A502D">
      <w:pPr>
        <w:pStyle w:val="ListParagraph"/>
        <w:numPr>
          <w:ilvl w:val="2"/>
          <w:numId w:val="1"/>
        </w:numPr>
        <w:tabs>
          <w:tab w:val="left" w:pos="720"/>
        </w:tabs>
        <w:rPr>
          <w:rFonts w:ascii="Times New Roman" w:hAnsi="Times New Roman"/>
          <w:sz w:val="20"/>
          <w:szCs w:val="20"/>
        </w:rPr>
      </w:pPr>
      <w:r>
        <w:rPr>
          <w:rFonts w:ascii="Times New Roman" w:eastAsia="Times New Roman" w:hAnsi="Times New Roman"/>
          <w:color w:val="000000"/>
          <w:sz w:val="20"/>
          <w:szCs w:val="20"/>
        </w:rPr>
        <w:t>Ernest Fritz Server</w:t>
      </w:r>
    </w:p>
    <w:p w14:paraId="208215CB" w14:textId="77777777" w:rsidR="00C672C2" w:rsidRPr="006A502D" w:rsidRDefault="00931E38" w:rsidP="006A502D">
      <w:pPr>
        <w:pStyle w:val="ListParagraph"/>
        <w:numPr>
          <w:ilvl w:val="2"/>
          <w:numId w:val="1"/>
        </w:numPr>
        <w:tabs>
          <w:tab w:val="left" w:pos="720"/>
        </w:tabs>
        <w:rPr>
          <w:rFonts w:ascii="Times New Roman" w:hAnsi="Times New Roman"/>
          <w:sz w:val="20"/>
          <w:szCs w:val="20"/>
        </w:rPr>
      </w:pPr>
      <w:r>
        <w:rPr>
          <w:rFonts w:ascii="Times New Roman" w:eastAsia="Times New Roman" w:hAnsi="Times New Roman"/>
          <w:color w:val="000000"/>
          <w:sz w:val="20"/>
          <w:szCs w:val="20"/>
        </w:rPr>
        <w:t>Hector Villanueva</w:t>
      </w:r>
      <w:r w:rsidR="00C672C2">
        <w:rPr>
          <w:rFonts w:ascii="Times New Roman" w:eastAsia="Times New Roman" w:hAnsi="Times New Roman"/>
          <w:color w:val="000000"/>
          <w:sz w:val="20"/>
          <w:szCs w:val="20"/>
        </w:rPr>
        <w:t xml:space="preserve"> (ID)</w:t>
      </w:r>
    </w:p>
    <w:p w14:paraId="63FF7984" w14:textId="04BBD501" w:rsidR="00C672C2" w:rsidRPr="006A502D" w:rsidRDefault="00931E38" w:rsidP="006A502D">
      <w:pPr>
        <w:pStyle w:val="ListParagraph"/>
        <w:numPr>
          <w:ilvl w:val="2"/>
          <w:numId w:val="1"/>
        </w:numPr>
        <w:tabs>
          <w:tab w:val="left" w:pos="720"/>
        </w:tabs>
        <w:rPr>
          <w:rFonts w:ascii="Times New Roman" w:hAnsi="Times New Roman"/>
          <w:sz w:val="20"/>
          <w:szCs w:val="20"/>
        </w:rPr>
      </w:pPr>
      <w:r w:rsidRPr="006A502D">
        <w:rPr>
          <w:rFonts w:ascii="Times New Roman" w:eastAsia="Times New Roman" w:hAnsi="Times New Roman"/>
          <w:color w:val="000000"/>
          <w:sz w:val="20"/>
          <w:szCs w:val="20"/>
        </w:rPr>
        <w:t xml:space="preserve">Corazon </w:t>
      </w:r>
      <w:proofErr w:type="spellStart"/>
      <w:r w:rsidRPr="006A502D">
        <w:rPr>
          <w:rFonts w:ascii="Times New Roman" w:eastAsia="Times New Roman" w:hAnsi="Times New Roman"/>
          <w:color w:val="000000"/>
          <w:sz w:val="20"/>
          <w:szCs w:val="20"/>
        </w:rPr>
        <w:t>Guidote</w:t>
      </w:r>
      <w:proofErr w:type="spellEnd"/>
      <w:r w:rsidR="00C672C2" w:rsidRPr="006A502D">
        <w:rPr>
          <w:rFonts w:ascii="Times New Roman" w:eastAsia="Times New Roman" w:hAnsi="Times New Roman"/>
          <w:color w:val="000000"/>
          <w:sz w:val="20"/>
          <w:szCs w:val="20"/>
        </w:rPr>
        <w:t xml:space="preserve"> (ID)</w:t>
      </w:r>
    </w:p>
    <w:p w14:paraId="34E737EB" w14:textId="492CA179" w:rsidR="00C672C2" w:rsidRPr="006A502D" w:rsidRDefault="00C672C2" w:rsidP="006A502D">
      <w:pPr>
        <w:pStyle w:val="ListParagraph"/>
        <w:numPr>
          <w:ilvl w:val="2"/>
          <w:numId w:val="1"/>
        </w:numPr>
        <w:tabs>
          <w:tab w:val="left" w:pos="720"/>
        </w:tabs>
        <w:rPr>
          <w:rFonts w:ascii="Times New Roman" w:hAnsi="Times New Roman"/>
          <w:sz w:val="20"/>
          <w:szCs w:val="20"/>
        </w:rPr>
      </w:pPr>
      <w:r w:rsidRPr="006B0E18">
        <w:rPr>
          <w:rFonts w:ascii="Times New Roman" w:eastAsia="Times New Roman" w:hAnsi="Times New Roman"/>
          <w:color w:val="000000"/>
          <w:sz w:val="20"/>
          <w:szCs w:val="20"/>
        </w:rPr>
        <w:t>Bernardino M. Ramos</w:t>
      </w:r>
      <w:r>
        <w:rPr>
          <w:rFonts w:ascii="Times New Roman" w:eastAsia="Times New Roman" w:hAnsi="Times New Roman"/>
          <w:color w:val="000000"/>
          <w:sz w:val="20"/>
          <w:szCs w:val="20"/>
        </w:rPr>
        <w:t xml:space="preserve"> (ID)</w:t>
      </w:r>
    </w:p>
    <w:p w14:paraId="503B8CBA" w14:textId="77777777" w:rsidR="00C672C2" w:rsidRPr="006A502D" w:rsidRDefault="00C672C2" w:rsidP="006A502D">
      <w:pPr>
        <w:pStyle w:val="ListParagraph"/>
        <w:tabs>
          <w:tab w:val="left" w:pos="720"/>
        </w:tabs>
        <w:ind w:left="1434"/>
        <w:rPr>
          <w:rFonts w:ascii="Times New Roman" w:hAnsi="Times New Roman"/>
          <w:sz w:val="20"/>
          <w:szCs w:val="20"/>
        </w:rPr>
      </w:pPr>
    </w:p>
    <w:p w14:paraId="74C97225" w14:textId="75DB9A35" w:rsidR="00C672C2" w:rsidRPr="00C672C2" w:rsidRDefault="00784E3C" w:rsidP="006A502D">
      <w:pPr>
        <w:pStyle w:val="ListParagraph"/>
        <w:tabs>
          <w:tab w:val="left" w:pos="720"/>
        </w:tabs>
        <w:spacing w:line="360" w:lineRule="auto"/>
        <w:rPr>
          <w:rFonts w:ascii="Times New Roman" w:hAnsi="Times New Roman"/>
          <w:sz w:val="20"/>
          <w:szCs w:val="20"/>
        </w:rPr>
      </w:pPr>
      <w:r>
        <w:tab/>
      </w:r>
      <w:r w:rsidR="00C672C2" w:rsidRPr="00101329">
        <w:sym w:font="Webdings" w:char="F063"/>
      </w:r>
      <w:r w:rsidR="00C672C2" w:rsidRPr="00C672C2">
        <w:rPr>
          <w:rFonts w:ascii="Times New Roman" w:hAnsi="Times New Roman"/>
          <w:sz w:val="20"/>
          <w:szCs w:val="20"/>
        </w:rPr>
        <w:t xml:space="preserve">  FOR </w:t>
      </w:r>
      <w:r w:rsidR="00C672C2" w:rsidRPr="00C672C2">
        <w:rPr>
          <w:rFonts w:ascii="Times New Roman" w:hAnsi="Times New Roman"/>
          <w:sz w:val="20"/>
          <w:szCs w:val="20"/>
        </w:rPr>
        <w:tab/>
      </w:r>
      <w:r w:rsidR="00C672C2" w:rsidRPr="00C672C2">
        <w:rPr>
          <w:rFonts w:ascii="Times New Roman" w:hAnsi="Times New Roman"/>
          <w:sz w:val="20"/>
          <w:szCs w:val="20"/>
        </w:rPr>
        <w:tab/>
      </w:r>
      <w:r w:rsidR="00C672C2" w:rsidRPr="00101329">
        <w:sym w:font="Webdings" w:char="F063"/>
      </w:r>
      <w:r w:rsidR="00C672C2" w:rsidRPr="00C672C2">
        <w:rPr>
          <w:rFonts w:ascii="Times New Roman" w:hAnsi="Times New Roman"/>
          <w:sz w:val="20"/>
          <w:szCs w:val="20"/>
        </w:rPr>
        <w:t xml:space="preserve">  AGAINST</w:t>
      </w:r>
      <w:r w:rsidR="00C672C2" w:rsidRPr="00C672C2">
        <w:rPr>
          <w:rFonts w:ascii="Times New Roman" w:hAnsi="Times New Roman"/>
          <w:sz w:val="20"/>
          <w:szCs w:val="20"/>
        </w:rPr>
        <w:tab/>
      </w:r>
      <w:r w:rsidR="00C672C2" w:rsidRPr="00101329">
        <w:sym w:font="Webdings" w:char="F063"/>
      </w:r>
      <w:r w:rsidR="00C672C2" w:rsidRPr="00C672C2">
        <w:rPr>
          <w:rFonts w:ascii="Times New Roman" w:hAnsi="Times New Roman"/>
          <w:sz w:val="20"/>
          <w:szCs w:val="20"/>
        </w:rPr>
        <w:t xml:space="preserve">  ABSTAIN</w:t>
      </w:r>
    </w:p>
    <w:p w14:paraId="2EC0341A" w14:textId="3A08CA99" w:rsidR="006F5BEC" w:rsidRPr="00467810" w:rsidRDefault="00C17FA4" w:rsidP="006A502D">
      <w:pPr>
        <w:pStyle w:val="ListParagraph"/>
        <w:numPr>
          <w:ilvl w:val="1"/>
          <w:numId w:val="1"/>
        </w:numPr>
      </w:pPr>
      <w:r w:rsidRPr="006A502D">
        <w:rPr>
          <w:rFonts w:ascii="Times New Roman" w:eastAsia="Times New Roman" w:hAnsi="Times New Roman"/>
          <w:color w:val="000000"/>
          <w:sz w:val="20"/>
          <w:szCs w:val="20"/>
        </w:rPr>
        <w:t xml:space="preserve">Appointment of </w:t>
      </w:r>
      <w:r w:rsidR="00AE59EC" w:rsidRPr="006A502D">
        <w:rPr>
          <w:rFonts w:ascii="Times New Roman" w:eastAsia="Times New Roman" w:hAnsi="Times New Roman"/>
          <w:color w:val="000000"/>
          <w:sz w:val="20"/>
          <w:szCs w:val="20"/>
        </w:rPr>
        <w:t xml:space="preserve">R.S. </w:t>
      </w:r>
      <w:proofErr w:type="spellStart"/>
      <w:r w:rsidR="00AE59EC" w:rsidRPr="006A502D">
        <w:rPr>
          <w:rFonts w:ascii="Times New Roman" w:eastAsia="Times New Roman" w:hAnsi="Times New Roman"/>
          <w:color w:val="000000"/>
          <w:sz w:val="20"/>
          <w:szCs w:val="20"/>
        </w:rPr>
        <w:t>Bernaldo</w:t>
      </w:r>
      <w:proofErr w:type="spellEnd"/>
      <w:r w:rsidR="00AE59EC" w:rsidRPr="006A502D">
        <w:rPr>
          <w:rFonts w:ascii="Times New Roman" w:eastAsia="Times New Roman" w:hAnsi="Times New Roman"/>
          <w:color w:val="000000"/>
          <w:sz w:val="20"/>
          <w:szCs w:val="20"/>
        </w:rPr>
        <w:t xml:space="preserve"> &amp; Associates, with Romeo </w:t>
      </w:r>
      <w:r w:rsidR="00ED4066" w:rsidRPr="006A502D">
        <w:rPr>
          <w:rFonts w:ascii="Times New Roman" w:eastAsia="Times New Roman" w:hAnsi="Times New Roman"/>
          <w:color w:val="000000"/>
          <w:sz w:val="20"/>
          <w:szCs w:val="20"/>
        </w:rPr>
        <w:t>D</w:t>
      </w:r>
      <w:r w:rsidR="00AE59EC" w:rsidRPr="006A502D">
        <w:rPr>
          <w:rFonts w:ascii="Times New Roman" w:eastAsia="Times New Roman" w:hAnsi="Times New Roman"/>
          <w:color w:val="000000"/>
          <w:sz w:val="20"/>
          <w:szCs w:val="20"/>
        </w:rPr>
        <w:t xml:space="preserve">e Jesus, Jr. as handling partner, as </w:t>
      </w:r>
      <w:r w:rsidRPr="006A502D">
        <w:rPr>
          <w:rFonts w:ascii="Times New Roman" w:eastAsia="Times New Roman" w:hAnsi="Times New Roman"/>
          <w:color w:val="000000"/>
          <w:sz w:val="20"/>
          <w:szCs w:val="20"/>
        </w:rPr>
        <w:t>external auditor</w:t>
      </w:r>
      <w:r w:rsidR="006F5BEC" w:rsidRPr="006A502D">
        <w:rPr>
          <w:rFonts w:ascii="Times New Roman" w:eastAsia="Times New Roman" w:hAnsi="Times New Roman"/>
          <w:color w:val="000000"/>
          <w:sz w:val="20"/>
          <w:szCs w:val="20"/>
        </w:rPr>
        <w:t xml:space="preserve"> for the calendar year 2020</w:t>
      </w:r>
      <w:r w:rsidRPr="006A502D">
        <w:rPr>
          <w:rFonts w:ascii="Times New Roman" w:eastAsia="Times New Roman" w:hAnsi="Times New Roman"/>
          <w:color w:val="000000"/>
          <w:sz w:val="20"/>
          <w:szCs w:val="20"/>
        </w:rPr>
        <w:t>.</w:t>
      </w:r>
    </w:p>
    <w:p w14:paraId="4A1F98CA" w14:textId="76D485AD" w:rsidR="00C17FA4" w:rsidRPr="006A502D" w:rsidRDefault="00C17FA4" w:rsidP="006A502D">
      <w:pPr>
        <w:pStyle w:val="ListParagraph"/>
        <w:tabs>
          <w:tab w:val="left" w:pos="720"/>
        </w:tabs>
        <w:ind w:left="1434"/>
        <w:rPr>
          <w:rFonts w:ascii="Times New Roman" w:hAnsi="Times New Roman"/>
          <w:sz w:val="20"/>
          <w:szCs w:val="20"/>
        </w:rPr>
      </w:pPr>
    </w:p>
    <w:p w14:paraId="571C1328" w14:textId="77777777" w:rsidR="00784E3C" w:rsidRPr="00C672C2" w:rsidRDefault="00784E3C" w:rsidP="00784E3C">
      <w:pPr>
        <w:pStyle w:val="ListParagraph"/>
        <w:tabs>
          <w:tab w:val="left" w:pos="720"/>
        </w:tabs>
        <w:spacing w:line="360" w:lineRule="auto"/>
        <w:rPr>
          <w:rFonts w:ascii="Times New Roman" w:hAnsi="Times New Roman"/>
          <w:sz w:val="20"/>
          <w:szCs w:val="20"/>
        </w:rPr>
      </w:pPr>
      <w:r>
        <w:tab/>
      </w:r>
      <w:r w:rsidRPr="00101329">
        <w:sym w:font="Webdings" w:char="F063"/>
      </w:r>
      <w:r w:rsidRPr="00C672C2">
        <w:rPr>
          <w:rFonts w:ascii="Times New Roman" w:hAnsi="Times New Roman"/>
          <w:sz w:val="20"/>
          <w:szCs w:val="20"/>
        </w:rPr>
        <w:t xml:space="preserve">  FOR </w:t>
      </w:r>
      <w:r w:rsidRPr="00C672C2">
        <w:rPr>
          <w:rFonts w:ascii="Times New Roman" w:hAnsi="Times New Roman"/>
          <w:sz w:val="20"/>
          <w:szCs w:val="20"/>
        </w:rPr>
        <w:tab/>
      </w:r>
      <w:r w:rsidRPr="00C672C2">
        <w:rPr>
          <w:rFonts w:ascii="Times New Roman" w:hAnsi="Times New Roman"/>
          <w:sz w:val="20"/>
          <w:szCs w:val="20"/>
        </w:rPr>
        <w:tab/>
      </w:r>
      <w:r w:rsidRPr="00101329">
        <w:sym w:font="Webdings" w:char="F063"/>
      </w:r>
      <w:r w:rsidRPr="00C672C2">
        <w:rPr>
          <w:rFonts w:ascii="Times New Roman" w:hAnsi="Times New Roman"/>
          <w:sz w:val="20"/>
          <w:szCs w:val="20"/>
        </w:rPr>
        <w:t xml:space="preserve">  AGAINST</w:t>
      </w:r>
      <w:r w:rsidRPr="00C672C2">
        <w:rPr>
          <w:rFonts w:ascii="Times New Roman" w:hAnsi="Times New Roman"/>
          <w:sz w:val="20"/>
          <w:szCs w:val="20"/>
        </w:rPr>
        <w:tab/>
      </w:r>
      <w:r w:rsidRPr="00101329">
        <w:sym w:font="Webdings" w:char="F063"/>
      </w:r>
      <w:r w:rsidRPr="00C672C2">
        <w:rPr>
          <w:rFonts w:ascii="Times New Roman" w:hAnsi="Times New Roman"/>
          <w:sz w:val="20"/>
          <w:szCs w:val="20"/>
        </w:rPr>
        <w:t xml:space="preserve">  ABSTAIN</w:t>
      </w:r>
    </w:p>
    <w:p w14:paraId="0E99BAC2" w14:textId="77777777" w:rsidR="00C17FA4" w:rsidRPr="00101329" w:rsidRDefault="00C17FA4" w:rsidP="00C17FA4">
      <w:pPr>
        <w:pStyle w:val="ListParagraph"/>
        <w:tabs>
          <w:tab w:val="left" w:pos="1080"/>
        </w:tabs>
        <w:spacing w:before="120" w:line="360" w:lineRule="auto"/>
        <w:ind w:left="767"/>
        <w:rPr>
          <w:rFonts w:ascii="Times New Roman" w:hAnsi="Times New Roman"/>
          <w:sz w:val="20"/>
          <w:szCs w:val="20"/>
        </w:rPr>
      </w:pPr>
    </w:p>
    <w:p w14:paraId="4D3AC492" w14:textId="2E30BEBF" w:rsidR="00C17FA4" w:rsidRDefault="00C17FA4" w:rsidP="006A502D">
      <w:pPr>
        <w:pStyle w:val="ListParagraph"/>
        <w:numPr>
          <w:ilvl w:val="0"/>
          <w:numId w:val="1"/>
        </w:numPr>
        <w:tabs>
          <w:tab w:val="left" w:pos="720"/>
        </w:tabs>
        <w:rPr>
          <w:rFonts w:ascii="Times New Roman" w:hAnsi="Times New Roman"/>
          <w:sz w:val="20"/>
          <w:szCs w:val="20"/>
        </w:rPr>
      </w:pPr>
      <w:r>
        <w:rPr>
          <w:rFonts w:ascii="Times New Roman" w:eastAsia="Times New Roman" w:hAnsi="Times New Roman"/>
          <w:color w:val="000000"/>
          <w:sz w:val="20"/>
          <w:szCs w:val="20"/>
        </w:rPr>
        <w:t xml:space="preserve">Approval of </w:t>
      </w:r>
      <w:r w:rsidRPr="003B40AF">
        <w:rPr>
          <w:rFonts w:ascii="Times New Roman" w:hAnsi="Times New Roman"/>
          <w:sz w:val="20"/>
          <w:szCs w:val="20"/>
        </w:rPr>
        <w:t xml:space="preserve">the </w:t>
      </w:r>
      <w:r w:rsidR="008F13DB">
        <w:rPr>
          <w:rFonts w:ascii="Times New Roman" w:hAnsi="Times New Roman"/>
          <w:sz w:val="20"/>
          <w:szCs w:val="20"/>
        </w:rPr>
        <w:t xml:space="preserve">following </w:t>
      </w:r>
      <w:r>
        <w:rPr>
          <w:rFonts w:ascii="Times New Roman" w:hAnsi="Times New Roman"/>
          <w:sz w:val="20"/>
          <w:szCs w:val="20"/>
        </w:rPr>
        <w:t>amendments of the Articles of Incorporation:</w:t>
      </w:r>
    </w:p>
    <w:p w14:paraId="6293ECC7" w14:textId="725C7845" w:rsidR="00C17FA4" w:rsidRDefault="00C17FA4" w:rsidP="00C17FA4">
      <w:pPr>
        <w:pStyle w:val="Default"/>
        <w:numPr>
          <w:ilvl w:val="0"/>
          <w:numId w:val="5"/>
        </w:numPr>
        <w:ind w:left="1418" w:hanging="425"/>
        <w:jc w:val="both"/>
        <w:rPr>
          <w:rFonts w:ascii="Times New Roman" w:hAnsi="Times New Roman" w:cs="Times New Roman"/>
          <w:sz w:val="20"/>
          <w:szCs w:val="20"/>
        </w:rPr>
      </w:pPr>
      <w:r>
        <w:rPr>
          <w:rFonts w:ascii="Times New Roman" w:hAnsi="Times New Roman" w:cs="Times New Roman"/>
          <w:sz w:val="20"/>
          <w:szCs w:val="20"/>
        </w:rPr>
        <w:t xml:space="preserve">the </w:t>
      </w:r>
      <w:r w:rsidRPr="00A518D4">
        <w:rPr>
          <w:rFonts w:ascii="Times New Roman" w:hAnsi="Times New Roman" w:cs="Times New Roman"/>
          <w:sz w:val="20"/>
          <w:szCs w:val="20"/>
        </w:rPr>
        <w:t>change in the corporate term</w:t>
      </w:r>
      <w:r w:rsidR="0091346C">
        <w:rPr>
          <w:rFonts w:ascii="Times New Roman" w:hAnsi="Times New Roman" w:cs="Times New Roman"/>
          <w:sz w:val="20"/>
          <w:szCs w:val="20"/>
        </w:rPr>
        <w:t xml:space="preserve"> (from 50 years to perpetual)</w:t>
      </w:r>
      <w:r w:rsidRPr="00A518D4">
        <w:rPr>
          <w:rFonts w:ascii="Times New Roman" w:hAnsi="Times New Roman" w:cs="Times New Roman"/>
          <w:sz w:val="20"/>
          <w:szCs w:val="20"/>
        </w:rPr>
        <w:t xml:space="preserve">; </w:t>
      </w:r>
    </w:p>
    <w:p w14:paraId="7EFAD2D8" w14:textId="7777A1A0" w:rsidR="006F5BEC" w:rsidRDefault="006F5BEC" w:rsidP="006F5BEC">
      <w:pPr>
        <w:pStyle w:val="Default"/>
        <w:ind w:left="1418"/>
        <w:jc w:val="both"/>
        <w:rPr>
          <w:rFonts w:ascii="Times New Roman" w:hAnsi="Times New Roman" w:cs="Times New Roman"/>
          <w:sz w:val="20"/>
          <w:szCs w:val="20"/>
        </w:rPr>
      </w:pPr>
    </w:p>
    <w:p w14:paraId="17CE05B3" w14:textId="5B6E260F" w:rsidR="006F5BEC" w:rsidRPr="00467810" w:rsidRDefault="006F5BEC" w:rsidP="006F5BEC">
      <w:pPr>
        <w:tabs>
          <w:tab w:val="left" w:pos="720"/>
        </w:tabs>
        <w:spacing w:line="360" w:lineRule="auto"/>
        <w:rPr>
          <w:rFonts w:ascii="Times New Roman" w:hAnsi="Times New Roman"/>
          <w:sz w:val="20"/>
          <w:szCs w:val="20"/>
        </w:rPr>
      </w:pPr>
      <w:r>
        <w:tab/>
      </w:r>
      <w:r>
        <w:tab/>
      </w:r>
      <w:r w:rsidRPr="00101329">
        <w:sym w:font="Webdings" w:char="F063"/>
      </w:r>
      <w:r w:rsidRPr="00467810">
        <w:rPr>
          <w:rFonts w:ascii="Times New Roman" w:hAnsi="Times New Roman"/>
          <w:sz w:val="20"/>
          <w:szCs w:val="20"/>
        </w:rPr>
        <w:t xml:space="preserve">  FOR </w:t>
      </w:r>
      <w:r w:rsidRPr="00467810">
        <w:rPr>
          <w:rFonts w:ascii="Times New Roman" w:hAnsi="Times New Roman"/>
          <w:sz w:val="20"/>
          <w:szCs w:val="20"/>
        </w:rPr>
        <w:tab/>
      </w:r>
      <w:r w:rsidRPr="00467810">
        <w:rPr>
          <w:rFonts w:ascii="Times New Roman" w:hAnsi="Times New Roman"/>
          <w:sz w:val="20"/>
          <w:szCs w:val="20"/>
        </w:rPr>
        <w:tab/>
      </w:r>
      <w:r w:rsidRPr="00101329">
        <w:sym w:font="Webdings" w:char="F063"/>
      </w:r>
      <w:r w:rsidRPr="00467810">
        <w:rPr>
          <w:rFonts w:ascii="Times New Roman" w:hAnsi="Times New Roman"/>
          <w:sz w:val="20"/>
          <w:szCs w:val="20"/>
        </w:rPr>
        <w:t xml:space="preserve">  AGAINST</w:t>
      </w:r>
      <w:r w:rsidRPr="00467810">
        <w:rPr>
          <w:rFonts w:ascii="Times New Roman" w:hAnsi="Times New Roman"/>
          <w:sz w:val="20"/>
          <w:szCs w:val="20"/>
        </w:rPr>
        <w:tab/>
      </w:r>
      <w:r w:rsidRPr="00101329">
        <w:sym w:font="Webdings" w:char="F063"/>
      </w:r>
      <w:r w:rsidRPr="00467810">
        <w:rPr>
          <w:rFonts w:ascii="Times New Roman" w:hAnsi="Times New Roman"/>
          <w:sz w:val="20"/>
          <w:szCs w:val="20"/>
        </w:rPr>
        <w:t xml:space="preserve">  ABSTAIN</w:t>
      </w:r>
    </w:p>
    <w:p w14:paraId="43806C63" w14:textId="77777777" w:rsidR="006F5BEC" w:rsidRPr="00A518D4" w:rsidRDefault="006F5BEC" w:rsidP="006A502D">
      <w:pPr>
        <w:pStyle w:val="Default"/>
        <w:ind w:left="1418"/>
        <w:jc w:val="both"/>
        <w:rPr>
          <w:rFonts w:ascii="Times New Roman" w:hAnsi="Times New Roman" w:cs="Times New Roman"/>
          <w:sz w:val="20"/>
          <w:szCs w:val="20"/>
        </w:rPr>
      </w:pPr>
    </w:p>
    <w:p w14:paraId="5FEF8308" w14:textId="3BCAD7C7" w:rsidR="00C17FA4" w:rsidRPr="00A518D4" w:rsidRDefault="00C17FA4" w:rsidP="00C17FA4">
      <w:pPr>
        <w:pStyle w:val="Default"/>
        <w:numPr>
          <w:ilvl w:val="0"/>
          <w:numId w:val="5"/>
        </w:numPr>
        <w:ind w:left="1418" w:hanging="425"/>
        <w:jc w:val="both"/>
        <w:rPr>
          <w:rFonts w:ascii="Times New Roman" w:hAnsi="Times New Roman" w:cs="Times New Roman"/>
          <w:sz w:val="20"/>
          <w:szCs w:val="20"/>
        </w:rPr>
      </w:pPr>
      <w:r w:rsidRPr="00A518D4">
        <w:rPr>
          <w:rFonts w:ascii="Times New Roman" w:hAnsi="Times New Roman" w:cs="Times New Roman"/>
          <w:sz w:val="20"/>
          <w:szCs w:val="20"/>
        </w:rPr>
        <w:t>the increase in the Authorized Capital Stock and the delegation to the Board of Directors of</w:t>
      </w:r>
      <w:r w:rsidR="008F13DB">
        <w:rPr>
          <w:rFonts w:ascii="Times New Roman" w:hAnsi="Times New Roman" w:cs="Times New Roman"/>
          <w:sz w:val="20"/>
          <w:szCs w:val="20"/>
        </w:rPr>
        <w:t xml:space="preserve"> the power and authority to determine</w:t>
      </w:r>
      <w:r>
        <w:rPr>
          <w:rFonts w:ascii="Times New Roman" w:hAnsi="Times New Roman" w:cs="Times New Roman"/>
          <w:sz w:val="20"/>
          <w:szCs w:val="20"/>
        </w:rPr>
        <w:t>:</w:t>
      </w:r>
      <w:r w:rsidRPr="00A518D4">
        <w:rPr>
          <w:rFonts w:ascii="Times New Roman" w:hAnsi="Times New Roman" w:cs="Times New Roman"/>
          <w:sz w:val="20"/>
          <w:szCs w:val="20"/>
        </w:rPr>
        <w:t xml:space="preserve"> </w:t>
      </w:r>
    </w:p>
    <w:p w14:paraId="0282A399" w14:textId="77777777" w:rsidR="00C17FA4" w:rsidRPr="00A518D4" w:rsidRDefault="00C17FA4" w:rsidP="00C17FA4">
      <w:pPr>
        <w:pStyle w:val="Default"/>
        <w:numPr>
          <w:ilvl w:val="1"/>
          <w:numId w:val="5"/>
        </w:numPr>
        <w:ind w:left="1985"/>
        <w:jc w:val="both"/>
        <w:rPr>
          <w:rFonts w:ascii="Times New Roman" w:hAnsi="Times New Roman" w:cs="Times New Roman"/>
          <w:sz w:val="20"/>
          <w:szCs w:val="20"/>
        </w:rPr>
      </w:pPr>
      <w:r w:rsidRPr="00A518D4">
        <w:rPr>
          <w:rFonts w:ascii="Times New Roman" w:hAnsi="Times New Roman" w:cs="Times New Roman"/>
          <w:sz w:val="20"/>
          <w:szCs w:val="20"/>
        </w:rPr>
        <w:t xml:space="preserve">the manner by which the proposed increase in the Authorized Capital Stock will be implemented; and </w:t>
      </w:r>
    </w:p>
    <w:p w14:paraId="68CAE851" w14:textId="77777777" w:rsidR="00C17FA4" w:rsidRPr="00A518D4" w:rsidRDefault="00C17FA4" w:rsidP="00C17FA4">
      <w:pPr>
        <w:pStyle w:val="Default"/>
        <w:numPr>
          <w:ilvl w:val="1"/>
          <w:numId w:val="5"/>
        </w:numPr>
        <w:ind w:left="1985"/>
        <w:jc w:val="both"/>
        <w:rPr>
          <w:rFonts w:ascii="Times New Roman" w:hAnsi="Times New Roman" w:cs="Times New Roman"/>
          <w:sz w:val="20"/>
          <w:szCs w:val="20"/>
        </w:rPr>
      </w:pPr>
      <w:r w:rsidRPr="00A518D4">
        <w:rPr>
          <w:rFonts w:ascii="Times New Roman" w:hAnsi="Times New Roman" w:cs="Times New Roman"/>
          <w:sz w:val="20"/>
          <w:szCs w:val="20"/>
        </w:rPr>
        <w:t>the manner by which the increase in the Authorized Capital Stock will be subscribed and paid for, such as but not limited to, a private placement transaction, or public or rights offering.</w:t>
      </w:r>
    </w:p>
    <w:p w14:paraId="4B3F4D0F" w14:textId="77777777" w:rsidR="00C17FA4" w:rsidRDefault="00C17FA4" w:rsidP="00C17FA4">
      <w:pPr>
        <w:pStyle w:val="ListParagraph"/>
        <w:tabs>
          <w:tab w:val="left" w:pos="720"/>
        </w:tabs>
        <w:ind w:left="688"/>
        <w:rPr>
          <w:rFonts w:ascii="Times New Roman" w:hAnsi="Times New Roman"/>
          <w:sz w:val="20"/>
          <w:szCs w:val="20"/>
        </w:rPr>
      </w:pPr>
    </w:p>
    <w:p w14:paraId="567C1CED" w14:textId="5BE5DC87" w:rsidR="00C17FA4" w:rsidRPr="00467810" w:rsidRDefault="00C17FA4" w:rsidP="00C17FA4">
      <w:pPr>
        <w:tabs>
          <w:tab w:val="left" w:pos="720"/>
        </w:tabs>
        <w:spacing w:line="360" w:lineRule="auto"/>
        <w:rPr>
          <w:rFonts w:ascii="Times New Roman" w:hAnsi="Times New Roman"/>
          <w:sz w:val="20"/>
          <w:szCs w:val="20"/>
        </w:rPr>
      </w:pPr>
      <w:r w:rsidRPr="00467810">
        <w:rPr>
          <w:rFonts w:ascii="Times New Roman" w:hAnsi="Times New Roman"/>
          <w:sz w:val="20"/>
          <w:szCs w:val="20"/>
        </w:rPr>
        <w:tab/>
      </w:r>
      <w:r w:rsidR="006F5BEC">
        <w:rPr>
          <w:rFonts w:ascii="Times New Roman" w:hAnsi="Times New Roman"/>
          <w:sz w:val="20"/>
          <w:szCs w:val="20"/>
        </w:rPr>
        <w:tab/>
      </w:r>
      <w:r w:rsidRPr="00101329">
        <w:sym w:font="Webdings" w:char="F063"/>
      </w:r>
      <w:r w:rsidRPr="00467810">
        <w:rPr>
          <w:rFonts w:ascii="Times New Roman" w:hAnsi="Times New Roman"/>
          <w:sz w:val="20"/>
          <w:szCs w:val="20"/>
        </w:rPr>
        <w:t xml:space="preserve">  FOR </w:t>
      </w:r>
      <w:r w:rsidRPr="00467810">
        <w:rPr>
          <w:rFonts w:ascii="Times New Roman" w:hAnsi="Times New Roman"/>
          <w:sz w:val="20"/>
          <w:szCs w:val="20"/>
        </w:rPr>
        <w:tab/>
      </w:r>
      <w:r w:rsidRPr="00467810">
        <w:rPr>
          <w:rFonts w:ascii="Times New Roman" w:hAnsi="Times New Roman"/>
          <w:sz w:val="20"/>
          <w:szCs w:val="20"/>
        </w:rPr>
        <w:tab/>
      </w:r>
      <w:r w:rsidRPr="00101329">
        <w:sym w:font="Webdings" w:char="F063"/>
      </w:r>
      <w:r w:rsidRPr="00467810">
        <w:rPr>
          <w:rFonts w:ascii="Times New Roman" w:hAnsi="Times New Roman"/>
          <w:sz w:val="20"/>
          <w:szCs w:val="20"/>
        </w:rPr>
        <w:t xml:space="preserve">  AGAINST</w:t>
      </w:r>
      <w:r w:rsidRPr="00467810">
        <w:rPr>
          <w:rFonts w:ascii="Times New Roman" w:hAnsi="Times New Roman"/>
          <w:sz w:val="20"/>
          <w:szCs w:val="20"/>
        </w:rPr>
        <w:tab/>
      </w:r>
      <w:r w:rsidRPr="00101329">
        <w:sym w:font="Webdings" w:char="F063"/>
      </w:r>
      <w:r w:rsidRPr="00467810">
        <w:rPr>
          <w:rFonts w:ascii="Times New Roman" w:hAnsi="Times New Roman"/>
          <w:sz w:val="20"/>
          <w:szCs w:val="20"/>
        </w:rPr>
        <w:t xml:space="preserve">  ABSTAIN</w:t>
      </w:r>
    </w:p>
    <w:p w14:paraId="726EA030" w14:textId="77777777" w:rsidR="00C17FA4" w:rsidRPr="003B40AF" w:rsidRDefault="00C17FA4" w:rsidP="00C17FA4">
      <w:pPr>
        <w:pStyle w:val="ListParagraph"/>
        <w:tabs>
          <w:tab w:val="left" w:pos="720"/>
        </w:tabs>
        <w:ind w:left="688"/>
        <w:rPr>
          <w:rFonts w:ascii="Times New Roman" w:hAnsi="Times New Roman"/>
          <w:sz w:val="20"/>
          <w:szCs w:val="20"/>
        </w:rPr>
      </w:pPr>
    </w:p>
    <w:p w14:paraId="19044774" w14:textId="48B3D253" w:rsidR="00C17FA4" w:rsidRDefault="00C17FA4" w:rsidP="00C17FA4">
      <w:pPr>
        <w:pStyle w:val="ListParagraph"/>
        <w:numPr>
          <w:ilvl w:val="0"/>
          <w:numId w:val="1"/>
        </w:numPr>
        <w:tabs>
          <w:tab w:val="left" w:pos="720"/>
        </w:tabs>
        <w:ind w:left="714" w:hanging="357"/>
        <w:rPr>
          <w:rFonts w:ascii="Times New Roman" w:hAnsi="Times New Roman"/>
          <w:sz w:val="20"/>
          <w:szCs w:val="20"/>
        </w:rPr>
      </w:pPr>
      <w:r w:rsidRPr="008F13DB">
        <w:rPr>
          <w:rFonts w:ascii="Times New Roman" w:hAnsi="Times New Roman"/>
          <w:sz w:val="20"/>
          <w:szCs w:val="20"/>
        </w:rPr>
        <w:t>Approval of the</w:t>
      </w:r>
      <w:r w:rsidR="008F13DB" w:rsidRPr="008F13DB">
        <w:rPr>
          <w:rFonts w:ascii="Times New Roman" w:hAnsi="Times New Roman"/>
          <w:sz w:val="20"/>
          <w:szCs w:val="20"/>
        </w:rPr>
        <w:t xml:space="preserve"> </w:t>
      </w:r>
      <w:r w:rsidR="008F13DB" w:rsidRPr="006A502D">
        <w:rPr>
          <w:rFonts w:ascii="Times New Roman" w:hAnsi="Times New Roman"/>
          <w:sz w:val="20"/>
          <w:szCs w:val="20"/>
        </w:rPr>
        <w:t>conduct of an offering to eligible stockholders of the Corporation (subject to the determination by management of the record date) rights to subscribe to the common shares (the “Rights Shares”) of the Corporation (the “Stock Rights Offering”) with bonus detachable warrant (the “Detachable Warrants”). Specifically, the stockholders shall approve</w:t>
      </w:r>
      <w:r w:rsidRPr="008F13DB">
        <w:rPr>
          <w:rFonts w:ascii="Times New Roman" w:hAnsi="Times New Roman"/>
          <w:sz w:val="20"/>
          <w:szCs w:val="20"/>
        </w:rPr>
        <w:t xml:space="preserve">: </w:t>
      </w:r>
    </w:p>
    <w:p w14:paraId="35989CFC" w14:textId="77777777" w:rsidR="008F13DB" w:rsidRPr="008F13DB" w:rsidRDefault="008F13DB" w:rsidP="006A502D">
      <w:pPr>
        <w:pStyle w:val="ListParagraph"/>
        <w:tabs>
          <w:tab w:val="left" w:pos="720"/>
        </w:tabs>
        <w:ind w:left="714"/>
        <w:rPr>
          <w:rFonts w:ascii="Times New Roman" w:hAnsi="Times New Roman"/>
          <w:sz w:val="20"/>
          <w:szCs w:val="20"/>
        </w:rPr>
      </w:pPr>
    </w:p>
    <w:p w14:paraId="4718752A" w14:textId="58C79E31" w:rsidR="008F13DB" w:rsidRPr="006A502D" w:rsidRDefault="008F13DB" w:rsidP="006A502D">
      <w:pPr>
        <w:pStyle w:val="Default"/>
        <w:numPr>
          <w:ilvl w:val="1"/>
          <w:numId w:val="1"/>
        </w:numPr>
        <w:jc w:val="both"/>
        <w:rPr>
          <w:rFonts w:ascii="Times New Roman" w:hAnsi="Times New Roman" w:cs="Times New Roman"/>
          <w:sz w:val="20"/>
          <w:szCs w:val="20"/>
        </w:rPr>
      </w:pPr>
      <w:r w:rsidRPr="006A502D">
        <w:rPr>
          <w:rFonts w:ascii="Times New Roman" w:hAnsi="Times New Roman" w:cs="Times New Roman"/>
          <w:sz w:val="20"/>
          <w:szCs w:val="20"/>
        </w:rPr>
        <w:t>the conduct of the Stock Rights Offering with Detachable Warrants</w:t>
      </w:r>
      <w:r w:rsidR="00ED4066">
        <w:rPr>
          <w:rFonts w:ascii="Times New Roman" w:hAnsi="Times New Roman" w:cs="Times New Roman"/>
          <w:sz w:val="20"/>
          <w:szCs w:val="20"/>
        </w:rPr>
        <w:t>.</w:t>
      </w:r>
    </w:p>
    <w:p w14:paraId="1053B47C" w14:textId="2695B82F" w:rsidR="008F13DB" w:rsidRPr="006A502D" w:rsidRDefault="008F13DB" w:rsidP="006A502D">
      <w:pPr>
        <w:pStyle w:val="Default"/>
        <w:numPr>
          <w:ilvl w:val="1"/>
          <w:numId w:val="1"/>
        </w:numPr>
        <w:jc w:val="both"/>
        <w:rPr>
          <w:rFonts w:ascii="Times New Roman" w:hAnsi="Times New Roman" w:cs="Times New Roman"/>
          <w:sz w:val="20"/>
          <w:szCs w:val="20"/>
        </w:rPr>
      </w:pPr>
      <w:r w:rsidRPr="006A502D">
        <w:rPr>
          <w:rFonts w:ascii="Times New Roman" w:hAnsi="Times New Roman" w:cs="Times New Roman"/>
          <w:sz w:val="20"/>
          <w:szCs w:val="20"/>
        </w:rPr>
        <w:t>the issuance of the Detachable Warrants</w:t>
      </w:r>
      <w:r w:rsidR="00ED4066">
        <w:rPr>
          <w:rFonts w:ascii="Times New Roman" w:hAnsi="Times New Roman" w:cs="Times New Roman"/>
          <w:sz w:val="20"/>
          <w:szCs w:val="20"/>
        </w:rPr>
        <w:t>.</w:t>
      </w:r>
      <w:r w:rsidRPr="006A502D">
        <w:rPr>
          <w:rFonts w:ascii="Times New Roman" w:hAnsi="Times New Roman" w:cs="Times New Roman"/>
          <w:sz w:val="20"/>
          <w:szCs w:val="20"/>
        </w:rPr>
        <w:t xml:space="preserve"> </w:t>
      </w:r>
    </w:p>
    <w:p w14:paraId="763FC5EC" w14:textId="77777777" w:rsidR="008F13DB" w:rsidRPr="006A502D" w:rsidRDefault="008F13DB" w:rsidP="006A502D">
      <w:pPr>
        <w:pStyle w:val="Default"/>
        <w:numPr>
          <w:ilvl w:val="1"/>
          <w:numId w:val="1"/>
        </w:numPr>
        <w:jc w:val="both"/>
        <w:rPr>
          <w:rFonts w:ascii="Times New Roman" w:hAnsi="Times New Roman" w:cs="Times New Roman"/>
          <w:sz w:val="20"/>
          <w:szCs w:val="20"/>
        </w:rPr>
      </w:pPr>
      <w:r w:rsidRPr="006A502D">
        <w:rPr>
          <w:rFonts w:ascii="Times New Roman" w:hAnsi="Times New Roman" w:cs="Times New Roman"/>
          <w:sz w:val="20"/>
          <w:szCs w:val="20"/>
        </w:rPr>
        <w:t xml:space="preserve">the listing of the Rights Shares, the Detachable Warrants and the underlying common shares subject of the Detachable Warrants with the Philippine Stock Exchange. </w:t>
      </w:r>
    </w:p>
    <w:p w14:paraId="0798D684" w14:textId="77777777" w:rsidR="008F13DB" w:rsidRPr="006A502D" w:rsidRDefault="008F13DB" w:rsidP="006A502D">
      <w:pPr>
        <w:pStyle w:val="Default"/>
        <w:numPr>
          <w:ilvl w:val="1"/>
          <w:numId w:val="1"/>
        </w:numPr>
        <w:jc w:val="both"/>
        <w:rPr>
          <w:rFonts w:ascii="Times New Roman" w:hAnsi="Times New Roman" w:cs="Times New Roman"/>
          <w:sz w:val="20"/>
          <w:szCs w:val="20"/>
        </w:rPr>
      </w:pPr>
      <w:r w:rsidRPr="006A502D">
        <w:rPr>
          <w:rFonts w:ascii="Times New Roman" w:hAnsi="Times New Roman" w:cs="Times New Roman"/>
          <w:sz w:val="20"/>
          <w:szCs w:val="20"/>
        </w:rPr>
        <w:t>the delegation to certain members of the Corporation’s Senior Management the Power and Authority to Fix the Terms and Conditions of the Stock Rights Offering with Detachable Warrants.</w:t>
      </w:r>
    </w:p>
    <w:p w14:paraId="2E0DD79C" w14:textId="77777777" w:rsidR="00C17FA4" w:rsidRDefault="00C17FA4" w:rsidP="00C17FA4">
      <w:pPr>
        <w:pStyle w:val="ListParagraph"/>
        <w:tabs>
          <w:tab w:val="left" w:pos="720"/>
        </w:tabs>
        <w:ind w:left="714"/>
        <w:rPr>
          <w:rFonts w:ascii="Times New Roman" w:hAnsi="Times New Roman"/>
          <w:sz w:val="20"/>
          <w:szCs w:val="20"/>
        </w:rPr>
      </w:pPr>
    </w:p>
    <w:p w14:paraId="641545ED" w14:textId="2BB703FD" w:rsidR="00C17FA4" w:rsidRPr="00467810" w:rsidRDefault="00C17FA4" w:rsidP="00C17FA4">
      <w:pPr>
        <w:tabs>
          <w:tab w:val="left" w:pos="720"/>
        </w:tabs>
        <w:spacing w:line="360" w:lineRule="auto"/>
        <w:ind w:left="360"/>
        <w:rPr>
          <w:rFonts w:ascii="Times New Roman" w:hAnsi="Times New Roman"/>
          <w:sz w:val="20"/>
          <w:szCs w:val="20"/>
        </w:rPr>
      </w:pPr>
      <w:r w:rsidRPr="00467810">
        <w:rPr>
          <w:rFonts w:ascii="Times New Roman" w:hAnsi="Times New Roman"/>
          <w:sz w:val="20"/>
          <w:szCs w:val="20"/>
        </w:rPr>
        <w:tab/>
      </w:r>
      <w:r w:rsidR="006F5BEC">
        <w:rPr>
          <w:rFonts w:ascii="Times New Roman" w:hAnsi="Times New Roman"/>
          <w:sz w:val="20"/>
          <w:szCs w:val="20"/>
        </w:rPr>
        <w:tab/>
      </w:r>
      <w:r w:rsidRPr="00101329">
        <w:sym w:font="Webdings" w:char="F063"/>
      </w:r>
      <w:r w:rsidRPr="00467810">
        <w:rPr>
          <w:rFonts w:ascii="Times New Roman" w:hAnsi="Times New Roman"/>
          <w:sz w:val="20"/>
          <w:szCs w:val="20"/>
        </w:rPr>
        <w:t xml:space="preserve">  FOR </w:t>
      </w:r>
      <w:r w:rsidRPr="00467810">
        <w:rPr>
          <w:rFonts w:ascii="Times New Roman" w:hAnsi="Times New Roman"/>
          <w:sz w:val="20"/>
          <w:szCs w:val="20"/>
        </w:rPr>
        <w:tab/>
      </w:r>
      <w:r w:rsidRPr="00467810">
        <w:rPr>
          <w:rFonts w:ascii="Times New Roman" w:hAnsi="Times New Roman"/>
          <w:sz w:val="20"/>
          <w:szCs w:val="20"/>
        </w:rPr>
        <w:tab/>
      </w:r>
      <w:r w:rsidRPr="00101329">
        <w:sym w:font="Webdings" w:char="F063"/>
      </w:r>
      <w:r w:rsidRPr="00467810">
        <w:rPr>
          <w:rFonts w:ascii="Times New Roman" w:hAnsi="Times New Roman"/>
          <w:sz w:val="20"/>
          <w:szCs w:val="20"/>
        </w:rPr>
        <w:t xml:space="preserve">  AGAINST</w:t>
      </w:r>
      <w:r w:rsidRPr="00467810">
        <w:rPr>
          <w:rFonts w:ascii="Times New Roman" w:hAnsi="Times New Roman"/>
          <w:sz w:val="20"/>
          <w:szCs w:val="20"/>
        </w:rPr>
        <w:tab/>
      </w:r>
      <w:r w:rsidRPr="00101329">
        <w:sym w:font="Webdings" w:char="F063"/>
      </w:r>
      <w:r w:rsidRPr="00467810">
        <w:rPr>
          <w:rFonts w:ascii="Times New Roman" w:hAnsi="Times New Roman"/>
          <w:sz w:val="20"/>
          <w:szCs w:val="20"/>
        </w:rPr>
        <w:t xml:space="preserve">  ABSTAIN</w:t>
      </w:r>
    </w:p>
    <w:p w14:paraId="1F286F2A" w14:textId="77777777" w:rsidR="00C17FA4" w:rsidRDefault="00C17FA4" w:rsidP="00C17FA4">
      <w:pPr>
        <w:autoSpaceDE w:val="0"/>
        <w:autoSpaceDN w:val="0"/>
        <w:adjustRightInd w:val="0"/>
        <w:snapToGrid w:val="0"/>
        <w:jc w:val="left"/>
      </w:pPr>
    </w:p>
    <w:p w14:paraId="42DEF398" w14:textId="16A4CD74" w:rsidR="0035572D" w:rsidRDefault="0035572D" w:rsidP="0035572D">
      <w:pPr>
        <w:autoSpaceDE w:val="0"/>
        <w:autoSpaceDN w:val="0"/>
        <w:adjustRightInd w:val="0"/>
        <w:snapToGrid w:val="0"/>
        <w:jc w:val="left"/>
      </w:pPr>
    </w:p>
    <w:p w14:paraId="4B6A9A91" w14:textId="53B89071" w:rsidR="006F5BEC" w:rsidRDefault="006F5BEC" w:rsidP="0035572D">
      <w:pPr>
        <w:autoSpaceDE w:val="0"/>
        <w:autoSpaceDN w:val="0"/>
        <w:adjustRightInd w:val="0"/>
        <w:snapToGrid w:val="0"/>
        <w:jc w:val="left"/>
      </w:pPr>
    </w:p>
    <w:p w14:paraId="6A8A2673" w14:textId="50F1FD17" w:rsidR="006F5BEC" w:rsidRDefault="006F5BEC" w:rsidP="0035572D">
      <w:pPr>
        <w:autoSpaceDE w:val="0"/>
        <w:autoSpaceDN w:val="0"/>
        <w:adjustRightInd w:val="0"/>
        <w:snapToGrid w:val="0"/>
        <w:jc w:val="left"/>
      </w:pPr>
    </w:p>
    <w:p w14:paraId="6E874A19" w14:textId="57328CC1" w:rsidR="006F5BEC" w:rsidRDefault="006F5BEC" w:rsidP="0035572D">
      <w:pPr>
        <w:autoSpaceDE w:val="0"/>
        <w:autoSpaceDN w:val="0"/>
        <w:adjustRightInd w:val="0"/>
        <w:snapToGrid w:val="0"/>
        <w:jc w:val="left"/>
      </w:pPr>
    </w:p>
    <w:p w14:paraId="494EA2B4" w14:textId="68C49E04" w:rsidR="006F5BEC" w:rsidRDefault="006F5BEC" w:rsidP="0035572D">
      <w:pPr>
        <w:autoSpaceDE w:val="0"/>
        <w:autoSpaceDN w:val="0"/>
        <w:adjustRightInd w:val="0"/>
        <w:snapToGrid w:val="0"/>
        <w:jc w:val="left"/>
      </w:pPr>
    </w:p>
    <w:p w14:paraId="59EEFC5B" w14:textId="40542765" w:rsidR="006F5BEC" w:rsidRDefault="006F5BEC" w:rsidP="0035572D">
      <w:pPr>
        <w:autoSpaceDE w:val="0"/>
        <w:autoSpaceDN w:val="0"/>
        <w:adjustRightInd w:val="0"/>
        <w:snapToGrid w:val="0"/>
        <w:jc w:val="left"/>
      </w:pPr>
    </w:p>
    <w:p w14:paraId="77781C96" w14:textId="55EDB0F5" w:rsidR="006F5BEC" w:rsidRDefault="006F5BEC" w:rsidP="0035572D">
      <w:pPr>
        <w:autoSpaceDE w:val="0"/>
        <w:autoSpaceDN w:val="0"/>
        <w:adjustRightInd w:val="0"/>
        <w:snapToGrid w:val="0"/>
        <w:jc w:val="left"/>
      </w:pPr>
    </w:p>
    <w:p w14:paraId="1AAA9A9F" w14:textId="1DFA83A8" w:rsidR="006F5BEC" w:rsidRDefault="006F5BEC" w:rsidP="0035572D">
      <w:pPr>
        <w:autoSpaceDE w:val="0"/>
        <w:autoSpaceDN w:val="0"/>
        <w:adjustRightInd w:val="0"/>
        <w:snapToGrid w:val="0"/>
        <w:jc w:val="left"/>
      </w:pPr>
    </w:p>
    <w:p w14:paraId="2E9978DB" w14:textId="50BE4592" w:rsidR="006F5BEC" w:rsidRDefault="006F5BEC" w:rsidP="0035572D">
      <w:pPr>
        <w:autoSpaceDE w:val="0"/>
        <w:autoSpaceDN w:val="0"/>
        <w:adjustRightInd w:val="0"/>
        <w:snapToGrid w:val="0"/>
        <w:jc w:val="left"/>
      </w:pPr>
    </w:p>
    <w:p w14:paraId="2E7FCDFA" w14:textId="780DC4C9" w:rsidR="006F5BEC" w:rsidRDefault="006F5BEC" w:rsidP="0035572D">
      <w:pPr>
        <w:autoSpaceDE w:val="0"/>
        <w:autoSpaceDN w:val="0"/>
        <w:adjustRightInd w:val="0"/>
        <w:snapToGrid w:val="0"/>
        <w:jc w:val="left"/>
      </w:pPr>
    </w:p>
    <w:p w14:paraId="43435279" w14:textId="77777777" w:rsidR="006F5BEC" w:rsidRDefault="006F5BEC" w:rsidP="0035572D">
      <w:pPr>
        <w:autoSpaceDE w:val="0"/>
        <w:autoSpaceDN w:val="0"/>
        <w:adjustRightInd w:val="0"/>
        <w:snapToGrid w:val="0"/>
        <w:jc w:val="left"/>
      </w:pPr>
    </w:p>
    <w:p w14:paraId="50EE32BD" w14:textId="77777777" w:rsidR="00E867BA" w:rsidRPr="00D81B83" w:rsidRDefault="00E867BA" w:rsidP="00E867BA">
      <w:pPr>
        <w:autoSpaceDE w:val="0"/>
        <w:autoSpaceDN w:val="0"/>
        <w:adjustRightInd w:val="0"/>
        <w:snapToGrid w:val="0"/>
        <w:jc w:val="left"/>
        <w:rPr>
          <w:rFonts w:ascii="Times New Roman" w:eastAsia="Times New Roman" w:hAnsi="Times New Roman"/>
          <w:color w:val="000000"/>
          <w:lang w:val="en-US"/>
        </w:rPr>
      </w:pPr>
      <w:r w:rsidRPr="00D81B83">
        <w:rPr>
          <w:rFonts w:ascii="Times New Roman" w:eastAsia="Times New Roman" w:hAnsi="Times New Roman"/>
          <w:color w:val="000000"/>
          <w:lang w:val="x-none"/>
        </w:rPr>
        <w:t>==================================================================================</w:t>
      </w:r>
    </w:p>
    <w:p w14:paraId="5D1D68EE" w14:textId="77777777" w:rsidR="00E867BA" w:rsidRPr="004A5C58" w:rsidRDefault="00E867BA" w:rsidP="00E867BA">
      <w:pPr>
        <w:autoSpaceDE w:val="0"/>
        <w:autoSpaceDN w:val="0"/>
        <w:adjustRightInd w:val="0"/>
        <w:snapToGrid w:val="0"/>
        <w:jc w:val="center"/>
        <w:rPr>
          <w:rFonts w:ascii="Times New Roman" w:hAnsi="Times New Roman"/>
          <w:b/>
          <w:sz w:val="18"/>
          <w:szCs w:val="18"/>
        </w:rPr>
      </w:pPr>
      <w:r w:rsidRPr="004A5C58">
        <w:rPr>
          <w:rFonts w:ascii="Times New Roman" w:hAnsi="Times New Roman"/>
          <w:b/>
          <w:sz w:val="18"/>
          <w:szCs w:val="18"/>
        </w:rPr>
        <w:t>GENERAL INFORMATION AND INSTRUCTIONS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723"/>
      </w:tblGrid>
      <w:tr w:rsidR="00E867BA" w14:paraId="31F0054B" w14:textId="77777777" w:rsidTr="000E1DF5">
        <w:tc>
          <w:tcPr>
            <w:tcW w:w="5107" w:type="dxa"/>
          </w:tcPr>
          <w:p w14:paraId="1BD2DABB" w14:textId="77777777" w:rsidR="00E867BA" w:rsidRPr="00101329" w:rsidRDefault="00E867BA" w:rsidP="000E1DF5">
            <w:pPr>
              <w:rPr>
                <w:rFonts w:ascii="Times New Roman" w:hAnsi="Times New Roman"/>
                <w:sz w:val="18"/>
                <w:szCs w:val="18"/>
              </w:rPr>
            </w:pPr>
          </w:p>
          <w:p w14:paraId="031E0616" w14:textId="1CB6074F" w:rsidR="00E867BA" w:rsidRPr="004A5C58" w:rsidRDefault="00E77C3B" w:rsidP="000E1DF5">
            <w:pPr>
              <w:pStyle w:val="ListParagraph"/>
              <w:ind w:left="0"/>
              <w:rPr>
                <w:rFonts w:ascii="Times New Roman" w:hAnsi="Times New Roman"/>
                <w:b/>
                <w:sz w:val="18"/>
                <w:szCs w:val="18"/>
              </w:rPr>
            </w:pPr>
            <w:r>
              <w:rPr>
                <w:rFonts w:ascii="Times New Roman" w:hAnsi="Times New Roman"/>
                <w:b/>
                <w:sz w:val="18"/>
                <w:szCs w:val="18"/>
              </w:rPr>
              <w:t>1</w:t>
            </w:r>
            <w:r w:rsidR="00E867BA" w:rsidRPr="004A5C58">
              <w:rPr>
                <w:rFonts w:ascii="Times New Roman" w:hAnsi="Times New Roman"/>
                <w:b/>
                <w:sz w:val="18"/>
                <w:szCs w:val="18"/>
              </w:rPr>
              <w:t>.  Submission of Proxy</w:t>
            </w:r>
          </w:p>
          <w:p w14:paraId="31DC3EC7" w14:textId="77777777" w:rsidR="00E867BA" w:rsidRPr="00101329" w:rsidRDefault="00E867BA" w:rsidP="000E1DF5">
            <w:pPr>
              <w:pStyle w:val="ListParagraph"/>
              <w:ind w:left="0"/>
              <w:rPr>
                <w:rFonts w:ascii="Times New Roman" w:hAnsi="Times New Roman"/>
                <w:sz w:val="18"/>
                <w:szCs w:val="18"/>
              </w:rPr>
            </w:pPr>
          </w:p>
          <w:p w14:paraId="69612864" w14:textId="24325383" w:rsidR="00E867BA" w:rsidRDefault="00E867BA" w:rsidP="000E1DF5">
            <w:pPr>
              <w:pStyle w:val="ListParagraph"/>
              <w:ind w:left="0"/>
              <w:rPr>
                <w:rFonts w:ascii="Times New Roman" w:hAnsi="Times New Roman"/>
                <w:sz w:val="18"/>
                <w:szCs w:val="18"/>
              </w:rPr>
            </w:pPr>
            <w:r>
              <w:rPr>
                <w:rFonts w:ascii="Times New Roman" w:hAnsi="Times New Roman"/>
                <w:sz w:val="18"/>
                <w:szCs w:val="18"/>
              </w:rPr>
              <w:t xml:space="preserve">a. </w:t>
            </w:r>
            <w:r w:rsidRPr="00101329">
              <w:rPr>
                <w:rFonts w:ascii="Times New Roman" w:hAnsi="Times New Roman"/>
                <w:sz w:val="18"/>
                <w:szCs w:val="18"/>
              </w:rPr>
              <w:t xml:space="preserve">The proxy form must be completed, signed and dated by the stockholder or his duly authorized representative, and received at 116 East Main Avenue, Phase V-SEZ Laguna Technopark, </w:t>
            </w:r>
            <w:proofErr w:type="spellStart"/>
            <w:r w:rsidRPr="00101329">
              <w:rPr>
                <w:rFonts w:ascii="Times New Roman" w:hAnsi="Times New Roman"/>
                <w:sz w:val="18"/>
                <w:szCs w:val="18"/>
              </w:rPr>
              <w:t>Biñan</w:t>
            </w:r>
            <w:proofErr w:type="spellEnd"/>
            <w:r w:rsidRPr="00101329">
              <w:rPr>
                <w:rFonts w:ascii="Times New Roman" w:hAnsi="Times New Roman"/>
                <w:sz w:val="18"/>
                <w:szCs w:val="18"/>
              </w:rPr>
              <w:t>, Laguna, 4024</w:t>
            </w:r>
            <w:r w:rsidR="0035572D">
              <w:rPr>
                <w:rFonts w:ascii="Times New Roman" w:hAnsi="Times New Roman"/>
                <w:sz w:val="18"/>
                <w:szCs w:val="18"/>
              </w:rPr>
              <w:t xml:space="preserve"> or e-mailed to </w:t>
            </w:r>
            <w:hyperlink r:id="rId5" w:history="1">
              <w:r w:rsidR="0035572D" w:rsidRPr="003F57F1">
                <w:rPr>
                  <w:rStyle w:val="Hyperlink"/>
                  <w:rFonts w:ascii="Times New Roman" w:hAnsi="Times New Roman"/>
                  <w:sz w:val="18"/>
                  <w:szCs w:val="18"/>
                </w:rPr>
                <w:t>corporate_secretary@cirtek.ph</w:t>
              </w:r>
            </w:hyperlink>
            <w:r w:rsidR="0035572D">
              <w:rPr>
                <w:rFonts w:ascii="Times New Roman" w:hAnsi="Times New Roman"/>
                <w:sz w:val="18"/>
                <w:szCs w:val="18"/>
              </w:rPr>
              <w:t xml:space="preserve">  not later than </w:t>
            </w:r>
            <w:r w:rsidR="00477396">
              <w:rPr>
                <w:rFonts w:ascii="Times New Roman" w:hAnsi="Times New Roman"/>
                <w:sz w:val="18"/>
                <w:szCs w:val="18"/>
              </w:rPr>
              <w:t>18</w:t>
            </w:r>
            <w:r w:rsidR="0035572D">
              <w:rPr>
                <w:rFonts w:ascii="Times New Roman" w:hAnsi="Times New Roman"/>
                <w:sz w:val="18"/>
                <w:szCs w:val="18"/>
              </w:rPr>
              <w:t xml:space="preserve"> </w:t>
            </w:r>
            <w:r w:rsidR="00477396">
              <w:rPr>
                <w:rFonts w:ascii="Times New Roman" w:hAnsi="Times New Roman"/>
                <w:sz w:val="18"/>
                <w:szCs w:val="18"/>
              </w:rPr>
              <w:t>November</w:t>
            </w:r>
            <w:r w:rsidR="0035572D">
              <w:rPr>
                <w:rFonts w:ascii="Times New Roman" w:hAnsi="Times New Roman"/>
                <w:sz w:val="18"/>
                <w:szCs w:val="18"/>
              </w:rPr>
              <w:t xml:space="preserve"> 2020, 10:00 A.M</w:t>
            </w:r>
            <w:r w:rsidRPr="00101329">
              <w:rPr>
                <w:rFonts w:ascii="Times New Roman" w:hAnsi="Times New Roman"/>
                <w:sz w:val="18"/>
                <w:szCs w:val="18"/>
              </w:rPr>
              <w:t>.</w:t>
            </w:r>
          </w:p>
          <w:p w14:paraId="4F577BD7" w14:textId="77777777" w:rsidR="00E867BA" w:rsidRDefault="00E867BA" w:rsidP="000E1DF5">
            <w:pPr>
              <w:pStyle w:val="ListParagraph"/>
              <w:ind w:left="0"/>
              <w:rPr>
                <w:rFonts w:ascii="Times New Roman" w:hAnsi="Times New Roman"/>
                <w:sz w:val="18"/>
                <w:szCs w:val="18"/>
              </w:rPr>
            </w:pPr>
            <w:r>
              <w:rPr>
                <w:rFonts w:ascii="Times New Roman" w:hAnsi="Times New Roman"/>
                <w:sz w:val="18"/>
                <w:szCs w:val="18"/>
              </w:rPr>
              <w:t xml:space="preserve">b. </w:t>
            </w:r>
            <w:r w:rsidRPr="00101329">
              <w:rPr>
                <w:rFonts w:ascii="Times New Roman" w:hAnsi="Times New Roman"/>
                <w:sz w:val="18"/>
                <w:szCs w:val="18"/>
              </w:rPr>
              <w:t>If the shares of stock are owned by two or more joint owners, the proxy form must be signed by all the joint owners.</w:t>
            </w:r>
          </w:p>
          <w:p w14:paraId="6A36B614" w14:textId="6642413C" w:rsidR="00E867BA" w:rsidRDefault="00E867BA" w:rsidP="000E1DF5">
            <w:pPr>
              <w:pStyle w:val="ListParagraph"/>
              <w:ind w:left="0"/>
              <w:rPr>
                <w:rFonts w:ascii="Times New Roman" w:hAnsi="Times New Roman"/>
                <w:sz w:val="18"/>
                <w:szCs w:val="18"/>
              </w:rPr>
            </w:pPr>
            <w:r>
              <w:rPr>
                <w:rFonts w:ascii="Times New Roman" w:hAnsi="Times New Roman"/>
                <w:sz w:val="18"/>
                <w:szCs w:val="18"/>
              </w:rPr>
              <w:t xml:space="preserve">c. </w:t>
            </w:r>
            <w:r w:rsidRPr="00101329">
              <w:rPr>
                <w:rFonts w:ascii="Times New Roman" w:hAnsi="Times New Roman"/>
                <w:sz w:val="18"/>
                <w:szCs w:val="18"/>
              </w:rPr>
              <w:t>If the shares of stock are owned in and “and/or” capacity, the proxy form must be signed by either one of the owners.</w:t>
            </w:r>
          </w:p>
          <w:p w14:paraId="669B195F" w14:textId="4D3C88E0" w:rsidR="00E77C3B" w:rsidRDefault="00E77C3B" w:rsidP="00E77C3B">
            <w:pPr>
              <w:pStyle w:val="ListParagraph"/>
              <w:ind w:left="0"/>
              <w:rPr>
                <w:rFonts w:ascii="Times New Roman" w:hAnsi="Times New Roman"/>
                <w:sz w:val="18"/>
                <w:szCs w:val="18"/>
              </w:rPr>
            </w:pPr>
            <w:r>
              <w:rPr>
                <w:rFonts w:ascii="Times New Roman" w:hAnsi="Times New Roman"/>
                <w:sz w:val="18"/>
                <w:szCs w:val="18"/>
              </w:rPr>
              <w:t xml:space="preserve">d. </w:t>
            </w:r>
            <w:r w:rsidRPr="00101329">
              <w:rPr>
                <w:rFonts w:ascii="Times New Roman" w:hAnsi="Times New Roman"/>
                <w:sz w:val="18"/>
                <w:szCs w:val="18"/>
              </w:rPr>
              <w:t>If the shares of stock are owned by a corporation, association or partnership, the proxy form must be accompanied by a certification, signed by a duly authorized officer, partner or representative of such corporation, association or partnership,</w:t>
            </w:r>
            <w:r>
              <w:rPr>
                <w:rFonts w:ascii="Times New Roman" w:hAnsi="Times New Roman"/>
                <w:sz w:val="18"/>
                <w:szCs w:val="18"/>
              </w:rPr>
              <w:t xml:space="preserve"> </w:t>
            </w:r>
            <w:r w:rsidRPr="00101329">
              <w:rPr>
                <w:rFonts w:ascii="Times New Roman" w:hAnsi="Times New Roman"/>
                <w:sz w:val="18"/>
                <w:szCs w:val="18"/>
              </w:rPr>
              <w:t>to the effect that the person signing the proxy form has been</w:t>
            </w:r>
            <w:r>
              <w:rPr>
                <w:rFonts w:ascii="Times New Roman" w:hAnsi="Times New Roman"/>
                <w:sz w:val="18"/>
                <w:szCs w:val="18"/>
              </w:rPr>
              <w:t xml:space="preserve"> </w:t>
            </w:r>
            <w:r w:rsidRPr="00101329">
              <w:rPr>
                <w:rFonts w:ascii="Times New Roman" w:hAnsi="Times New Roman"/>
                <w:sz w:val="18"/>
                <w:szCs w:val="18"/>
              </w:rPr>
              <w:t>authorized by the governing body or has the power pursuant to the By-Laws, constitutive documents or duly approved polices of such corporation, association or partnership for such purpose.</w:t>
            </w:r>
          </w:p>
          <w:p w14:paraId="265BCDBF" w14:textId="2AF0E018" w:rsidR="00E77C3B" w:rsidRDefault="00E77C3B" w:rsidP="00E77C3B">
            <w:pPr>
              <w:pStyle w:val="ListParagraph"/>
              <w:ind w:left="0"/>
              <w:rPr>
                <w:rFonts w:ascii="Times New Roman" w:hAnsi="Times New Roman"/>
                <w:sz w:val="18"/>
                <w:szCs w:val="18"/>
              </w:rPr>
            </w:pPr>
          </w:p>
          <w:p w14:paraId="0C8D74E0" w14:textId="1AACA9A0" w:rsidR="00E77C3B" w:rsidRPr="00E77C3B" w:rsidRDefault="00E77C3B" w:rsidP="00E77C3B">
            <w:pPr>
              <w:pStyle w:val="ListParagraph"/>
              <w:ind w:left="0"/>
              <w:rPr>
                <w:rFonts w:ascii="Times New Roman" w:hAnsi="Times New Roman"/>
                <w:b/>
                <w:sz w:val="18"/>
                <w:szCs w:val="18"/>
              </w:rPr>
            </w:pPr>
            <w:r>
              <w:rPr>
                <w:rFonts w:ascii="Times New Roman" w:hAnsi="Times New Roman"/>
                <w:b/>
                <w:sz w:val="18"/>
                <w:szCs w:val="18"/>
              </w:rPr>
              <w:t>2</w:t>
            </w:r>
            <w:r w:rsidRPr="00E77C3B">
              <w:rPr>
                <w:rFonts w:ascii="Times New Roman" w:hAnsi="Times New Roman"/>
                <w:b/>
                <w:sz w:val="18"/>
                <w:szCs w:val="18"/>
              </w:rPr>
              <w:t>. Revocation of Proxy</w:t>
            </w:r>
          </w:p>
          <w:p w14:paraId="29C975BD" w14:textId="77777777" w:rsidR="00E77C3B" w:rsidRPr="00E77C3B" w:rsidRDefault="00E77C3B" w:rsidP="00E77C3B">
            <w:pPr>
              <w:pStyle w:val="ListParagraph"/>
              <w:ind w:left="0"/>
              <w:rPr>
                <w:rFonts w:ascii="Times New Roman" w:hAnsi="Times New Roman"/>
                <w:sz w:val="18"/>
                <w:szCs w:val="18"/>
              </w:rPr>
            </w:pPr>
          </w:p>
          <w:p w14:paraId="30B6AEA0" w14:textId="77777777" w:rsidR="00E77C3B" w:rsidRPr="00E77C3B" w:rsidRDefault="00E77C3B" w:rsidP="00E77C3B">
            <w:pPr>
              <w:pStyle w:val="ListParagraph"/>
              <w:ind w:left="0"/>
              <w:rPr>
                <w:rFonts w:ascii="Times New Roman" w:hAnsi="Times New Roman"/>
                <w:sz w:val="18"/>
                <w:szCs w:val="18"/>
              </w:rPr>
            </w:pPr>
            <w:r w:rsidRPr="00E77C3B">
              <w:rPr>
                <w:rFonts w:ascii="Times New Roman" w:hAnsi="Times New Roman"/>
                <w:sz w:val="18"/>
                <w:szCs w:val="18"/>
              </w:rPr>
              <w:t>An owner of shares of stock who has given a proxy has the power to revoke it by a written instrument duly signed and dated, which must be received by the Corporate Secretary not later than the last day for the submission of proxies as indicated in the Notice to Stockholders.  A proxy is also considered revoked for a particular meeting if an individual stockholder attends the meeting in person and expresses his intention to vote in person.</w:t>
            </w:r>
          </w:p>
          <w:p w14:paraId="75D1CC09" w14:textId="77777777" w:rsidR="00E77C3B" w:rsidRPr="00101329" w:rsidRDefault="00E77C3B" w:rsidP="00E77C3B">
            <w:pPr>
              <w:pStyle w:val="ListParagraph"/>
              <w:ind w:left="0"/>
              <w:rPr>
                <w:rFonts w:ascii="Times New Roman" w:hAnsi="Times New Roman"/>
                <w:sz w:val="18"/>
                <w:szCs w:val="18"/>
              </w:rPr>
            </w:pPr>
          </w:p>
          <w:p w14:paraId="16CD8CB1" w14:textId="77777777" w:rsidR="00E77C3B" w:rsidRDefault="00E77C3B" w:rsidP="000E1DF5">
            <w:pPr>
              <w:pStyle w:val="ListParagraph"/>
              <w:ind w:left="0"/>
              <w:rPr>
                <w:rFonts w:ascii="Times New Roman" w:hAnsi="Times New Roman"/>
                <w:sz w:val="18"/>
                <w:szCs w:val="18"/>
              </w:rPr>
            </w:pPr>
          </w:p>
          <w:p w14:paraId="4FF40856" w14:textId="77777777" w:rsidR="00E867BA" w:rsidRDefault="00E867BA" w:rsidP="000E1DF5">
            <w:pPr>
              <w:pStyle w:val="ListParagraph"/>
              <w:ind w:left="0"/>
              <w:rPr>
                <w:rFonts w:ascii="Times New Roman" w:hAnsi="Times New Roman"/>
                <w:sz w:val="18"/>
                <w:szCs w:val="18"/>
              </w:rPr>
            </w:pPr>
          </w:p>
        </w:tc>
        <w:tc>
          <w:tcPr>
            <w:tcW w:w="5107" w:type="dxa"/>
          </w:tcPr>
          <w:p w14:paraId="5FF0BABC" w14:textId="77777777" w:rsidR="00E867BA" w:rsidRPr="00E77C3B" w:rsidRDefault="00E867BA" w:rsidP="000E1DF5">
            <w:pPr>
              <w:pStyle w:val="ListParagraph"/>
              <w:ind w:left="0"/>
              <w:rPr>
                <w:rFonts w:ascii="Times New Roman" w:hAnsi="Times New Roman"/>
                <w:sz w:val="18"/>
                <w:szCs w:val="18"/>
              </w:rPr>
            </w:pPr>
          </w:p>
          <w:p w14:paraId="1FD169E8" w14:textId="6DA37DDB" w:rsidR="00E867BA" w:rsidRPr="00E77C3B" w:rsidRDefault="00E77C3B" w:rsidP="000E1DF5">
            <w:pPr>
              <w:pStyle w:val="ListParagraph"/>
              <w:ind w:left="0"/>
              <w:rPr>
                <w:rFonts w:ascii="Times New Roman" w:hAnsi="Times New Roman"/>
                <w:b/>
                <w:sz w:val="18"/>
                <w:szCs w:val="18"/>
              </w:rPr>
            </w:pPr>
            <w:r>
              <w:rPr>
                <w:rFonts w:ascii="Times New Roman" w:hAnsi="Times New Roman"/>
                <w:b/>
                <w:sz w:val="18"/>
                <w:szCs w:val="18"/>
              </w:rPr>
              <w:t>3</w:t>
            </w:r>
            <w:r w:rsidR="00E867BA" w:rsidRPr="00E77C3B">
              <w:rPr>
                <w:rFonts w:ascii="Times New Roman" w:hAnsi="Times New Roman"/>
                <w:b/>
                <w:sz w:val="18"/>
                <w:szCs w:val="18"/>
              </w:rPr>
              <w:t>. Validation of Proxies</w:t>
            </w:r>
          </w:p>
          <w:p w14:paraId="3FD8BA35" w14:textId="77777777" w:rsidR="00E867BA" w:rsidRPr="00E77C3B" w:rsidRDefault="00E867BA" w:rsidP="000E1DF5">
            <w:pPr>
              <w:pStyle w:val="ListParagraph"/>
              <w:ind w:left="0"/>
              <w:rPr>
                <w:rFonts w:ascii="Times New Roman" w:hAnsi="Times New Roman"/>
                <w:sz w:val="18"/>
                <w:szCs w:val="18"/>
              </w:rPr>
            </w:pPr>
          </w:p>
          <w:p w14:paraId="786C5453" w14:textId="39BA7E50" w:rsidR="00E867BA" w:rsidRPr="00E77C3B" w:rsidRDefault="00E867BA" w:rsidP="000E1DF5">
            <w:pPr>
              <w:pStyle w:val="ListParagraph"/>
              <w:ind w:left="0"/>
              <w:rPr>
                <w:rFonts w:ascii="Times New Roman" w:hAnsi="Times New Roman"/>
                <w:sz w:val="18"/>
                <w:szCs w:val="18"/>
              </w:rPr>
            </w:pPr>
            <w:r w:rsidRPr="00E77C3B">
              <w:rPr>
                <w:rFonts w:ascii="Times New Roman" w:hAnsi="Times New Roman"/>
                <w:sz w:val="18"/>
                <w:szCs w:val="18"/>
              </w:rPr>
              <w:t xml:space="preserve">The last day for validation of proxies for the Annual Stockholders’ Meeting is on </w:t>
            </w:r>
            <w:r w:rsidR="00477396">
              <w:rPr>
                <w:rFonts w:ascii="Times New Roman" w:hAnsi="Times New Roman"/>
                <w:sz w:val="18"/>
                <w:szCs w:val="18"/>
              </w:rPr>
              <w:t>18 November</w:t>
            </w:r>
            <w:r w:rsidR="00E77C3B">
              <w:rPr>
                <w:rFonts w:ascii="Times New Roman" w:hAnsi="Times New Roman"/>
                <w:sz w:val="18"/>
                <w:szCs w:val="18"/>
              </w:rPr>
              <w:t xml:space="preserve"> 2020</w:t>
            </w:r>
            <w:r w:rsidR="00C90D0A">
              <w:rPr>
                <w:rFonts w:ascii="Times New Roman" w:hAnsi="Times New Roman"/>
                <w:sz w:val="18"/>
                <w:szCs w:val="18"/>
              </w:rPr>
              <w:t>, 10:00 A.M</w:t>
            </w:r>
            <w:r w:rsidRPr="00E77C3B">
              <w:rPr>
                <w:rFonts w:ascii="Times New Roman" w:hAnsi="Times New Roman"/>
                <w:sz w:val="18"/>
                <w:szCs w:val="18"/>
              </w:rPr>
              <w:t>.  Validation of proxies will be done by the Proxy Validation Committee.</w:t>
            </w:r>
          </w:p>
          <w:p w14:paraId="6EEBE285" w14:textId="56D72970" w:rsidR="00E867BA" w:rsidRDefault="00E867BA" w:rsidP="000E1DF5">
            <w:pPr>
              <w:rPr>
                <w:rFonts w:ascii="Times New Roman" w:hAnsi="Times New Roman"/>
                <w:sz w:val="18"/>
                <w:szCs w:val="18"/>
              </w:rPr>
            </w:pPr>
          </w:p>
          <w:p w14:paraId="7A43D9E9" w14:textId="4DBD19AF" w:rsidR="0035572D" w:rsidRPr="0035572D" w:rsidRDefault="0035572D" w:rsidP="0035572D">
            <w:pPr>
              <w:rPr>
                <w:rFonts w:ascii="Times New Roman" w:hAnsi="Times New Roman"/>
                <w:sz w:val="18"/>
                <w:szCs w:val="18"/>
              </w:rPr>
            </w:pPr>
            <w:r w:rsidRPr="0035572D">
              <w:rPr>
                <w:rFonts w:ascii="Times New Roman" w:hAnsi="Times New Roman"/>
                <w:sz w:val="18"/>
                <w:szCs w:val="18"/>
              </w:rPr>
              <w:t xml:space="preserve">For the purpose of validation, the Stockholder must include the following in transmitting the completed and signed proxy form: </w:t>
            </w:r>
          </w:p>
          <w:p w14:paraId="180BB4C3" w14:textId="77777777" w:rsidR="0035572D" w:rsidRPr="0035572D" w:rsidRDefault="0035572D" w:rsidP="0035572D">
            <w:pPr>
              <w:ind w:left="720"/>
              <w:rPr>
                <w:rFonts w:ascii="Times New Roman" w:hAnsi="Times New Roman"/>
                <w:sz w:val="18"/>
                <w:szCs w:val="18"/>
              </w:rPr>
            </w:pPr>
            <w:r w:rsidRPr="0035572D">
              <w:rPr>
                <w:rFonts w:ascii="Times New Roman" w:hAnsi="Times New Roman"/>
                <w:sz w:val="18"/>
                <w:szCs w:val="18"/>
              </w:rPr>
              <w:t xml:space="preserve">a. Full name of contact person; </w:t>
            </w:r>
          </w:p>
          <w:p w14:paraId="02E60B4F" w14:textId="7700BEFE" w:rsidR="0035572D" w:rsidRPr="0035572D" w:rsidRDefault="00D512F6" w:rsidP="0035572D">
            <w:pPr>
              <w:ind w:left="720"/>
              <w:rPr>
                <w:rFonts w:ascii="Times New Roman" w:hAnsi="Times New Roman"/>
                <w:sz w:val="18"/>
                <w:szCs w:val="18"/>
              </w:rPr>
            </w:pPr>
            <w:r>
              <w:rPr>
                <w:rFonts w:ascii="Times New Roman" w:hAnsi="Times New Roman"/>
                <w:sz w:val="18"/>
                <w:szCs w:val="18"/>
              </w:rPr>
              <w:t>b</w:t>
            </w:r>
            <w:r w:rsidR="0035572D" w:rsidRPr="0035572D">
              <w:rPr>
                <w:rFonts w:ascii="Times New Roman" w:hAnsi="Times New Roman"/>
                <w:sz w:val="18"/>
                <w:szCs w:val="18"/>
              </w:rPr>
              <w:t xml:space="preserve">. </w:t>
            </w:r>
            <w:r>
              <w:rPr>
                <w:rFonts w:ascii="Times New Roman" w:hAnsi="Times New Roman"/>
                <w:sz w:val="18"/>
                <w:szCs w:val="18"/>
              </w:rPr>
              <w:t>Phone/</w:t>
            </w:r>
            <w:r w:rsidR="0035572D" w:rsidRPr="0035572D">
              <w:rPr>
                <w:rFonts w:ascii="Times New Roman" w:hAnsi="Times New Roman"/>
                <w:sz w:val="18"/>
                <w:szCs w:val="18"/>
              </w:rPr>
              <w:t xml:space="preserve">Mobile number of contact person; </w:t>
            </w:r>
          </w:p>
          <w:p w14:paraId="4E4C8EB8" w14:textId="4AFEC512" w:rsidR="0035572D" w:rsidRPr="0035572D" w:rsidRDefault="00D512F6" w:rsidP="0035572D">
            <w:pPr>
              <w:ind w:left="720"/>
              <w:rPr>
                <w:rFonts w:ascii="Times New Roman" w:hAnsi="Times New Roman"/>
                <w:sz w:val="18"/>
                <w:szCs w:val="18"/>
              </w:rPr>
            </w:pPr>
            <w:r>
              <w:rPr>
                <w:rFonts w:ascii="Times New Roman" w:hAnsi="Times New Roman"/>
                <w:sz w:val="18"/>
                <w:szCs w:val="18"/>
              </w:rPr>
              <w:t>c</w:t>
            </w:r>
            <w:r w:rsidR="0035572D" w:rsidRPr="0035572D">
              <w:rPr>
                <w:rFonts w:ascii="Times New Roman" w:hAnsi="Times New Roman"/>
                <w:sz w:val="18"/>
                <w:szCs w:val="18"/>
              </w:rPr>
              <w:t xml:space="preserve">. Scanned copy of valid government-issued ID of the Stockholder and his/her appointed proxy (if not the Chairman of the </w:t>
            </w:r>
            <w:r w:rsidR="0035572D" w:rsidRPr="0035572D">
              <w:rPr>
                <w:rFonts w:ascii="Times New Roman" w:hAnsi="Times New Roman"/>
                <w:sz w:val="18"/>
                <w:szCs w:val="18"/>
                <w:lang w:val="en-US"/>
              </w:rPr>
              <w:t>Corporation</w:t>
            </w:r>
            <w:r w:rsidR="0035572D" w:rsidRPr="0035572D">
              <w:rPr>
                <w:rFonts w:ascii="Times New Roman" w:hAnsi="Times New Roman"/>
                <w:sz w:val="18"/>
                <w:szCs w:val="18"/>
              </w:rPr>
              <w:t xml:space="preserve">); and </w:t>
            </w:r>
          </w:p>
          <w:p w14:paraId="6A0C0B73" w14:textId="47049015" w:rsidR="0035572D" w:rsidRPr="0035572D" w:rsidRDefault="00D512F6" w:rsidP="0035572D">
            <w:pPr>
              <w:ind w:left="720"/>
              <w:rPr>
                <w:rFonts w:ascii="Times New Roman" w:hAnsi="Times New Roman"/>
                <w:sz w:val="18"/>
                <w:szCs w:val="18"/>
              </w:rPr>
            </w:pPr>
            <w:r>
              <w:rPr>
                <w:rFonts w:ascii="Times New Roman" w:hAnsi="Times New Roman"/>
                <w:sz w:val="18"/>
                <w:szCs w:val="18"/>
              </w:rPr>
              <w:t>d</w:t>
            </w:r>
            <w:r w:rsidR="0035572D" w:rsidRPr="0035572D">
              <w:rPr>
                <w:rFonts w:ascii="Times New Roman" w:hAnsi="Times New Roman"/>
                <w:sz w:val="18"/>
                <w:szCs w:val="18"/>
              </w:rPr>
              <w:t xml:space="preserve">. For corporate Stockholders, in addition to the above, scanned copy of Secretary’s Certificate or Board Resolution authorizing the representative to act as the proxy. </w:t>
            </w:r>
          </w:p>
          <w:p w14:paraId="175D7FF6" w14:textId="77777777" w:rsidR="0035572D" w:rsidRPr="00E77C3B" w:rsidRDefault="0035572D" w:rsidP="000E1DF5">
            <w:pPr>
              <w:rPr>
                <w:rFonts w:ascii="Times New Roman" w:hAnsi="Times New Roman"/>
                <w:sz w:val="18"/>
                <w:szCs w:val="18"/>
              </w:rPr>
            </w:pPr>
          </w:p>
          <w:p w14:paraId="6A5DF795" w14:textId="77777777" w:rsidR="00E867BA" w:rsidRPr="00E77C3B" w:rsidRDefault="00E867BA" w:rsidP="000E1DF5">
            <w:pPr>
              <w:pStyle w:val="ListParagraph"/>
              <w:ind w:left="0"/>
              <w:rPr>
                <w:rFonts w:ascii="Times New Roman" w:hAnsi="Times New Roman"/>
                <w:sz w:val="18"/>
                <w:szCs w:val="18"/>
              </w:rPr>
            </w:pPr>
          </w:p>
        </w:tc>
      </w:tr>
      <w:tr w:rsidR="00E867BA" w14:paraId="40F4F517" w14:textId="77777777" w:rsidTr="000E1DF5">
        <w:tc>
          <w:tcPr>
            <w:tcW w:w="5107" w:type="dxa"/>
          </w:tcPr>
          <w:p w14:paraId="6007D2E1" w14:textId="77777777" w:rsidR="00E867BA" w:rsidRDefault="00E867BA" w:rsidP="000E1DF5">
            <w:pPr>
              <w:pStyle w:val="ListParagraph"/>
              <w:ind w:left="0"/>
              <w:rPr>
                <w:rFonts w:ascii="Times New Roman" w:hAnsi="Times New Roman"/>
                <w:b/>
                <w:sz w:val="18"/>
                <w:szCs w:val="18"/>
              </w:rPr>
            </w:pPr>
          </w:p>
        </w:tc>
        <w:tc>
          <w:tcPr>
            <w:tcW w:w="5107" w:type="dxa"/>
          </w:tcPr>
          <w:p w14:paraId="2731EA44" w14:textId="77777777" w:rsidR="00E867BA" w:rsidRDefault="00E867BA" w:rsidP="000E1DF5">
            <w:pPr>
              <w:pStyle w:val="ListParagraph"/>
              <w:ind w:left="0"/>
              <w:rPr>
                <w:rFonts w:ascii="Times New Roman" w:hAnsi="Times New Roman"/>
                <w:sz w:val="18"/>
                <w:szCs w:val="18"/>
              </w:rPr>
            </w:pPr>
          </w:p>
        </w:tc>
      </w:tr>
    </w:tbl>
    <w:p w14:paraId="106B4AA6" w14:textId="77777777" w:rsidR="00E867BA" w:rsidRPr="00101329" w:rsidRDefault="00E867BA" w:rsidP="00E867BA">
      <w:pPr>
        <w:pStyle w:val="ListParagraph"/>
        <w:rPr>
          <w:rFonts w:ascii="Times New Roman" w:hAnsi="Times New Roman"/>
          <w:sz w:val="18"/>
          <w:szCs w:val="18"/>
        </w:rPr>
      </w:pPr>
    </w:p>
    <w:p w14:paraId="5F0602D9" w14:textId="3882D9E3" w:rsidR="009575BE" w:rsidRDefault="009575BE"/>
    <w:sectPr w:rsidR="009575BE" w:rsidSect="00146043">
      <w:pgSz w:w="12240" w:h="15840" w:code="1"/>
      <w:pgMar w:top="1008" w:right="1008" w:bottom="100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574D7"/>
    <w:multiLevelType w:val="hybridMultilevel"/>
    <w:tmpl w:val="D85603F2"/>
    <w:lvl w:ilvl="0" w:tplc="A00092B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1BF710B6"/>
    <w:multiLevelType w:val="hybridMultilevel"/>
    <w:tmpl w:val="1826DC9A"/>
    <w:lvl w:ilvl="0" w:tplc="7B1A3052">
      <w:start w:val="1"/>
      <w:numFmt w:val="bullet"/>
      <w:lvlText w:val=""/>
      <w:lvlJc w:val="left"/>
      <w:pPr>
        <w:ind w:left="1070" w:hanging="360"/>
      </w:pPr>
      <w:rPr>
        <w:rFonts w:ascii="Webdings" w:eastAsia="Calibri" w:hAnsi="Webdings" w:cs="Times New Roman" w:hint="default"/>
      </w:rPr>
    </w:lvl>
    <w:lvl w:ilvl="1" w:tplc="48090003">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 w15:restartNumberingAfterBreak="0">
    <w:nsid w:val="20133CAE"/>
    <w:multiLevelType w:val="hybridMultilevel"/>
    <w:tmpl w:val="17708D2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06B682F"/>
    <w:multiLevelType w:val="hybridMultilevel"/>
    <w:tmpl w:val="9FE83254"/>
    <w:lvl w:ilvl="0" w:tplc="94D06FD4">
      <w:start w:val="1"/>
      <w:numFmt w:val="lowerRoman"/>
      <w:lvlText w:val="(%1)"/>
      <w:lvlJc w:val="left"/>
      <w:pPr>
        <w:ind w:left="2160" w:hanging="720"/>
      </w:pPr>
      <w:rPr>
        <w:rFonts w:hint="default"/>
      </w:rPr>
    </w:lvl>
    <w:lvl w:ilvl="1" w:tplc="34090019">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 w15:restartNumberingAfterBreak="0">
    <w:nsid w:val="311A7D7D"/>
    <w:multiLevelType w:val="hybridMultilevel"/>
    <w:tmpl w:val="26CE164E"/>
    <w:lvl w:ilvl="0" w:tplc="7B1A3052">
      <w:start w:val="1"/>
      <w:numFmt w:val="bullet"/>
      <w:lvlText w:val=""/>
      <w:lvlJc w:val="left"/>
      <w:pPr>
        <w:ind w:left="2154" w:hanging="360"/>
      </w:pPr>
      <w:rPr>
        <w:rFonts w:ascii="Webdings" w:eastAsia="Calibri" w:hAnsi="Webdings" w:cs="Times New Roman" w:hint="default"/>
      </w:rPr>
    </w:lvl>
    <w:lvl w:ilvl="1" w:tplc="34090003" w:tentative="1">
      <w:start w:val="1"/>
      <w:numFmt w:val="bullet"/>
      <w:lvlText w:val="o"/>
      <w:lvlJc w:val="left"/>
      <w:pPr>
        <w:ind w:left="2874" w:hanging="360"/>
      </w:pPr>
      <w:rPr>
        <w:rFonts w:ascii="Courier New" w:hAnsi="Courier New" w:cs="Courier New" w:hint="default"/>
      </w:rPr>
    </w:lvl>
    <w:lvl w:ilvl="2" w:tplc="34090005" w:tentative="1">
      <w:start w:val="1"/>
      <w:numFmt w:val="bullet"/>
      <w:lvlText w:val=""/>
      <w:lvlJc w:val="left"/>
      <w:pPr>
        <w:ind w:left="3594" w:hanging="360"/>
      </w:pPr>
      <w:rPr>
        <w:rFonts w:ascii="Wingdings" w:hAnsi="Wingdings" w:hint="default"/>
      </w:rPr>
    </w:lvl>
    <w:lvl w:ilvl="3" w:tplc="34090001" w:tentative="1">
      <w:start w:val="1"/>
      <w:numFmt w:val="bullet"/>
      <w:lvlText w:val=""/>
      <w:lvlJc w:val="left"/>
      <w:pPr>
        <w:ind w:left="4314" w:hanging="360"/>
      </w:pPr>
      <w:rPr>
        <w:rFonts w:ascii="Symbol" w:hAnsi="Symbol" w:hint="default"/>
      </w:rPr>
    </w:lvl>
    <w:lvl w:ilvl="4" w:tplc="34090003" w:tentative="1">
      <w:start w:val="1"/>
      <w:numFmt w:val="bullet"/>
      <w:lvlText w:val="o"/>
      <w:lvlJc w:val="left"/>
      <w:pPr>
        <w:ind w:left="5034" w:hanging="360"/>
      </w:pPr>
      <w:rPr>
        <w:rFonts w:ascii="Courier New" w:hAnsi="Courier New" w:cs="Courier New" w:hint="default"/>
      </w:rPr>
    </w:lvl>
    <w:lvl w:ilvl="5" w:tplc="34090005" w:tentative="1">
      <w:start w:val="1"/>
      <w:numFmt w:val="bullet"/>
      <w:lvlText w:val=""/>
      <w:lvlJc w:val="left"/>
      <w:pPr>
        <w:ind w:left="5754" w:hanging="360"/>
      </w:pPr>
      <w:rPr>
        <w:rFonts w:ascii="Wingdings" w:hAnsi="Wingdings" w:hint="default"/>
      </w:rPr>
    </w:lvl>
    <w:lvl w:ilvl="6" w:tplc="34090001" w:tentative="1">
      <w:start w:val="1"/>
      <w:numFmt w:val="bullet"/>
      <w:lvlText w:val=""/>
      <w:lvlJc w:val="left"/>
      <w:pPr>
        <w:ind w:left="6474" w:hanging="360"/>
      </w:pPr>
      <w:rPr>
        <w:rFonts w:ascii="Symbol" w:hAnsi="Symbol" w:hint="default"/>
      </w:rPr>
    </w:lvl>
    <w:lvl w:ilvl="7" w:tplc="34090003" w:tentative="1">
      <w:start w:val="1"/>
      <w:numFmt w:val="bullet"/>
      <w:lvlText w:val="o"/>
      <w:lvlJc w:val="left"/>
      <w:pPr>
        <w:ind w:left="7194" w:hanging="360"/>
      </w:pPr>
      <w:rPr>
        <w:rFonts w:ascii="Courier New" w:hAnsi="Courier New" w:cs="Courier New" w:hint="default"/>
      </w:rPr>
    </w:lvl>
    <w:lvl w:ilvl="8" w:tplc="34090005" w:tentative="1">
      <w:start w:val="1"/>
      <w:numFmt w:val="bullet"/>
      <w:lvlText w:val=""/>
      <w:lvlJc w:val="left"/>
      <w:pPr>
        <w:ind w:left="7914" w:hanging="360"/>
      </w:pPr>
      <w:rPr>
        <w:rFonts w:ascii="Wingdings" w:hAnsi="Wingdings" w:hint="default"/>
      </w:rPr>
    </w:lvl>
  </w:abstractNum>
  <w:abstractNum w:abstractNumId="5" w15:restartNumberingAfterBreak="0">
    <w:nsid w:val="53AA796A"/>
    <w:multiLevelType w:val="hybridMultilevel"/>
    <w:tmpl w:val="DF3A795A"/>
    <w:lvl w:ilvl="0" w:tplc="24E492B6">
      <w:start w:val="1"/>
      <w:numFmt w:val="lowerRoman"/>
      <w:lvlText w:val="(%1)"/>
      <w:lvlJc w:val="left"/>
      <w:pPr>
        <w:ind w:left="2160" w:hanging="72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6" w15:restartNumberingAfterBreak="0">
    <w:nsid w:val="6E882F80"/>
    <w:multiLevelType w:val="hybridMultilevel"/>
    <w:tmpl w:val="E398CDDE"/>
    <w:lvl w:ilvl="0" w:tplc="7AC098C2">
      <w:start w:val="1"/>
      <w:numFmt w:val="decimal"/>
      <w:lvlText w:val="%1."/>
      <w:lvlJc w:val="left"/>
      <w:pPr>
        <w:ind w:left="36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2"/>
  </w:num>
  <w:num w:numId="2">
    <w:abstractNumId w:val="6"/>
  </w:num>
  <w:num w:numId="3">
    <w:abstractNumId w:val="1"/>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7BA"/>
    <w:rsid w:val="0010611D"/>
    <w:rsid w:val="001B3BAC"/>
    <w:rsid w:val="001B720E"/>
    <w:rsid w:val="00261943"/>
    <w:rsid w:val="002D1A0A"/>
    <w:rsid w:val="0035572D"/>
    <w:rsid w:val="003814F0"/>
    <w:rsid w:val="00384417"/>
    <w:rsid w:val="003B40AF"/>
    <w:rsid w:val="00465777"/>
    <w:rsid w:val="00477396"/>
    <w:rsid w:val="00482921"/>
    <w:rsid w:val="0048785F"/>
    <w:rsid w:val="004C4666"/>
    <w:rsid w:val="005D4728"/>
    <w:rsid w:val="006A502D"/>
    <w:rsid w:val="006D1625"/>
    <w:rsid w:val="006F5BEC"/>
    <w:rsid w:val="007179AF"/>
    <w:rsid w:val="00784E3C"/>
    <w:rsid w:val="008535E0"/>
    <w:rsid w:val="008944FE"/>
    <w:rsid w:val="008F13DB"/>
    <w:rsid w:val="0091346C"/>
    <w:rsid w:val="00931E38"/>
    <w:rsid w:val="009575BE"/>
    <w:rsid w:val="009C4549"/>
    <w:rsid w:val="00A937DD"/>
    <w:rsid w:val="00AE59EC"/>
    <w:rsid w:val="00C17FA4"/>
    <w:rsid w:val="00C672C2"/>
    <w:rsid w:val="00C7061B"/>
    <w:rsid w:val="00C90D0A"/>
    <w:rsid w:val="00D512F6"/>
    <w:rsid w:val="00DC33C2"/>
    <w:rsid w:val="00DE192F"/>
    <w:rsid w:val="00E2012A"/>
    <w:rsid w:val="00E77C3B"/>
    <w:rsid w:val="00E867BA"/>
    <w:rsid w:val="00ED4066"/>
    <w:rsid w:val="00F54F17"/>
    <w:rsid w:val="00FA03D9"/>
    <w:rsid w:val="00FD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B7D8"/>
  <w15:chartTrackingRefBased/>
  <w15:docId w15:val="{917BA1FB-C125-4599-8D23-4AF06A58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7BA"/>
    <w:pPr>
      <w:spacing w:after="0" w:line="240" w:lineRule="auto"/>
      <w:jc w:val="both"/>
    </w:pPr>
    <w:rPr>
      <w:rFonts w:ascii="Calibri" w:eastAsia="Calibri" w:hAnsi="Calibri" w:cs="Times New Roman"/>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7BA"/>
    <w:pPr>
      <w:ind w:left="720"/>
      <w:contextualSpacing/>
    </w:pPr>
  </w:style>
  <w:style w:type="table" w:styleId="TableGrid">
    <w:name w:val="Table Grid"/>
    <w:basedOn w:val="TableNormal"/>
    <w:uiPriority w:val="59"/>
    <w:rsid w:val="00E867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45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549"/>
    <w:rPr>
      <w:rFonts w:ascii="Segoe UI" w:eastAsia="Calibri" w:hAnsi="Segoe UI" w:cs="Segoe UI"/>
      <w:sz w:val="18"/>
      <w:szCs w:val="18"/>
      <w:lang w:val="en-SG"/>
    </w:rPr>
  </w:style>
  <w:style w:type="character" w:styleId="Hyperlink">
    <w:name w:val="Hyperlink"/>
    <w:basedOn w:val="DefaultParagraphFont"/>
    <w:uiPriority w:val="99"/>
    <w:unhideWhenUsed/>
    <w:rsid w:val="0035572D"/>
    <w:rPr>
      <w:color w:val="0563C1" w:themeColor="hyperlink"/>
      <w:u w:val="single"/>
    </w:rPr>
  </w:style>
  <w:style w:type="paragraph" w:customStyle="1" w:styleId="Default">
    <w:name w:val="Default"/>
    <w:rsid w:val="00C17FA4"/>
    <w:pPr>
      <w:autoSpaceDE w:val="0"/>
      <w:autoSpaceDN w:val="0"/>
      <w:adjustRightInd w:val="0"/>
      <w:spacing w:after="0" w:line="240" w:lineRule="auto"/>
    </w:pPr>
    <w:rPr>
      <w:rFonts w:ascii="Arial" w:eastAsia="Times New Roman" w:hAnsi="Arial" w:cs="Arial"/>
      <w:color w:val="000000"/>
      <w:sz w:val="24"/>
      <w:szCs w:val="24"/>
      <w:lang w:val="en-PH" w:eastAsia="en-PH"/>
    </w:rPr>
  </w:style>
  <w:style w:type="character" w:styleId="CommentReference">
    <w:name w:val="annotation reference"/>
    <w:basedOn w:val="DefaultParagraphFont"/>
    <w:uiPriority w:val="99"/>
    <w:semiHidden/>
    <w:unhideWhenUsed/>
    <w:rsid w:val="00F54F17"/>
    <w:rPr>
      <w:sz w:val="16"/>
      <w:szCs w:val="16"/>
    </w:rPr>
  </w:style>
  <w:style w:type="paragraph" w:styleId="CommentText">
    <w:name w:val="annotation text"/>
    <w:basedOn w:val="Normal"/>
    <w:link w:val="CommentTextChar"/>
    <w:uiPriority w:val="99"/>
    <w:semiHidden/>
    <w:unhideWhenUsed/>
    <w:rsid w:val="00F54F17"/>
    <w:rPr>
      <w:sz w:val="20"/>
      <w:szCs w:val="20"/>
    </w:rPr>
  </w:style>
  <w:style w:type="character" w:customStyle="1" w:styleId="CommentTextChar">
    <w:name w:val="Comment Text Char"/>
    <w:basedOn w:val="DefaultParagraphFont"/>
    <w:link w:val="CommentText"/>
    <w:uiPriority w:val="99"/>
    <w:semiHidden/>
    <w:rsid w:val="00F54F17"/>
    <w:rPr>
      <w:rFonts w:ascii="Calibri" w:eastAsia="Calibri" w:hAnsi="Calibri" w:cs="Times New Roman"/>
      <w:sz w:val="20"/>
      <w:szCs w:val="20"/>
      <w:lang w:val="en-SG"/>
    </w:rPr>
  </w:style>
  <w:style w:type="paragraph" w:styleId="CommentSubject">
    <w:name w:val="annotation subject"/>
    <w:basedOn w:val="CommentText"/>
    <w:next w:val="CommentText"/>
    <w:link w:val="CommentSubjectChar"/>
    <w:uiPriority w:val="99"/>
    <w:semiHidden/>
    <w:unhideWhenUsed/>
    <w:rsid w:val="00F54F17"/>
    <w:rPr>
      <w:b/>
      <w:bCs/>
    </w:rPr>
  </w:style>
  <w:style w:type="character" w:customStyle="1" w:styleId="CommentSubjectChar">
    <w:name w:val="Comment Subject Char"/>
    <w:basedOn w:val="CommentTextChar"/>
    <w:link w:val="CommentSubject"/>
    <w:uiPriority w:val="99"/>
    <w:semiHidden/>
    <w:rsid w:val="00F54F17"/>
    <w:rPr>
      <w:rFonts w:ascii="Calibri" w:eastAsia="Calibri" w:hAnsi="Calibri" w:cs="Times New Roman"/>
      <w:b/>
      <w:bCs/>
      <w:sz w:val="20"/>
      <w:szCs w:val="20"/>
      <w:lang w:val="en-SG"/>
    </w:rPr>
  </w:style>
  <w:style w:type="paragraph" w:styleId="Revision">
    <w:name w:val="Revision"/>
    <w:hidden/>
    <w:uiPriority w:val="99"/>
    <w:semiHidden/>
    <w:rsid w:val="00F54F17"/>
    <w:pPr>
      <w:spacing w:after="0" w:line="240" w:lineRule="auto"/>
    </w:pPr>
    <w:rPr>
      <w:rFonts w:ascii="Calibri" w:eastAsia="Calibri" w:hAnsi="Calibri" w:cs="Times New Roman"/>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rporate_secretary@cirtek.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ACCRA</dc:creator>
  <cp:keywords/>
  <dc:description/>
  <cp:lastModifiedBy>Lourdes Larano</cp:lastModifiedBy>
  <cp:revision>2</cp:revision>
  <dcterms:created xsi:type="dcterms:W3CDTF">2020-11-03T03:03:00Z</dcterms:created>
  <dcterms:modified xsi:type="dcterms:W3CDTF">2020-11-03T03:03:00Z</dcterms:modified>
</cp:coreProperties>
</file>